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87" w:rsidRDefault="00B45887" w:rsidP="00B4588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noProof/>
          <w:color w:val="0000FF"/>
          <w:lang w:eastAsia="fr-FR"/>
        </w:rPr>
        <w:drawing>
          <wp:inline distT="0" distB="0" distL="0" distR="0">
            <wp:extent cx="5760720" cy="695095"/>
            <wp:effectExtent l="19050" t="0" r="0" b="0"/>
            <wp:docPr id="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887" w:rsidRDefault="00B45887" w:rsidP="00B4588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4"/>
          <w:szCs w:val="24"/>
          <w:lang w:eastAsia="fr-FR"/>
        </w:rPr>
        <w:pict>
          <v:rect id="_x0000_s1026" style="position:absolute;left:0;text-align:left;margin-left:2.65pt;margin-top:14.15pt;width:446.25pt;height:47.25pt;z-index:251658240" filled="f" strokecolor="blue" strokeweight="1.5pt"/>
        </w:pict>
      </w:r>
    </w:p>
    <w:p w:rsidR="00B45887" w:rsidRPr="0031210B" w:rsidRDefault="00B45887" w:rsidP="00B4588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31210B">
        <w:rPr>
          <w:rFonts w:ascii="Times New Roman" w:hAnsi="Times New Roman" w:cs="Times New Roman"/>
          <w:b/>
          <w:bCs/>
          <w:color w:val="0000FF"/>
          <w:sz w:val="24"/>
          <w:szCs w:val="24"/>
        </w:rPr>
        <w:t>Les aspects clinico-topographiques et thérapeutiques des cancers des voies aéro-digestives supérieures chez l’adulte</w:t>
      </w:r>
    </w:p>
    <w:p w:rsidR="00B45887" w:rsidRDefault="00B45887" w:rsidP="00B4588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B45887" w:rsidRPr="00D81CB5" w:rsidRDefault="00B45887" w:rsidP="00B45887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FF"/>
          <w:sz w:val="24"/>
          <w:szCs w:val="24"/>
          <w:vertAlign w:val="superscript"/>
          <w:lang w:val="en-US"/>
        </w:rPr>
      </w:pPr>
      <w:r w:rsidRPr="00D81CB5">
        <w:rPr>
          <w:rFonts w:ascii="Times New Roman" w:eastAsia="Calibri" w:hAnsi="Times New Roman" w:cs="Times New Roman"/>
          <w:b/>
          <w:color w:val="0000FF"/>
          <w:sz w:val="24"/>
          <w:szCs w:val="24"/>
          <w:lang w:val="en-US"/>
        </w:rPr>
        <w:t>Andriamampionona GB, Angelita ME, Rabarijaona AD,</w:t>
      </w: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en-US"/>
        </w:rPr>
        <w:t xml:space="preserve">  </w:t>
      </w:r>
      <w:r w:rsidRPr="00D81CB5">
        <w:rPr>
          <w:rFonts w:ascii="Times New Roman" w:eastAsia="Calibri" w:hAnsi="Times New Roman" w:cs="Times New Roman"/>
          <w:b/>
          <w:color w:val="0000FF"/>
          <w:sz w:val="24"/>
          <w:szCs w:val="24"/>
          <w:lang w:val="en-US"/>
        </w:rPr>
        <w:t>Randrianandraina MP, Rakotoarisoa AH</w:t>
      </w: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en-US"/>
        </w:rPr>
        <w:t>N.</w:t>
      </w:r>
    </w:p>
    <w:p w:rsidR="00CE6BE2" w:rsidRDefault="00CE6BE2" w:rsidP="00B45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F56" w:rsidRPr="00B45887" w:rsidRDefault="00B45887" w:rsidP="00B45887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0.15pt;margin-top:9.05pt;width:378.75pt;height:0;z-index:251659264" o:connectortype="straight" strokecolor="blue" strokeweight="1.5pt"/>
        </w:pict>
      </w:r>
      <w:r w:rsidRPr="00B45887">
        <w:rPr>
          <w:rFonts w:ascii="Times New Roman" w:hAnsi="Times New Roman" w:cs="Times New Roman"/>
          <w:b/>
          <w:bCs/>
          <w:color w:val="0000FF"/>
          <w:sz w:val="24"/>
          <w:szCs w:val="24"/>
        </w:rPr>
        <w:t>Introduction</w:t>
      </w:r>
    </w:p>
    <w:p w:rsidR="00E1385E" w:rsidRDefault="00FB2576" w:rsidP="00B45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562">
        <w:rPr>
          <w:rFonts w:ascii="Times New Roman" w:hAnsi="Times New Roman" w:cs="Times New Roman"/>
          <w:sz w:val="24"/>
          <w:szCs w:val="24"/>
        </w:rPr>
        <w:t>Les cancers des voies aérodigestives supérieures (VADS) sont</w:t>
      </w:r>
      <w:r w:rsidR="00CE6BE2">
        <w:rPr>
          <w:rFonts w:ascii="Times New Roman" w:hAnsi="Times New Roman" w:cs="Times New Roman"/>
          <w:sz w:val="24"/>
          <w:szCs w:val="24"/>
        </w:rPr>
        <w:t xml:space="preserve"> des tumeurs malignes affectant</w:t>
      </w:r>
      <w:r w:rsidRPr="00142562">
        <w:rPr>
          <w:rFonts w:ascii="Times New Roman" w:hAnsi="Times New Roman" w:cs="Times New Roman"/>
          <w:sz w:val="24"/>
          <w:szCs w:val="24"/>
        </w:rPr>
        <w:t xml:space="preserve"> l’un des organes constituant les </w:t>
      </w:r>
      <w:r w:rsidR="005E4656">
        <w:rPr>
          <w:rFonts w:ascii="Times New Roman" w:hAnsi="Times New Roman" w:cs="Times New Roman"/>
          <w:sz w:val="24"/>
          <w:szCs w:val="24"/>
        </w:rPr>
        <w:t>voies respiratoires ou digestives</w:t>
      </w:r>
      <w:r w:rsidRPr="00FB2576">
        <w:rPr>
          <w:rFonts w:ascii="Times New Roman" w:hAnsi="Times New Roman" w:cs="Times New Roman"/>
          <w:sz w:val="24"/>
          <w:szCs w:val="24"/>
        </w:rPr>
        <w:t xml:space="preserve"> situé</w:t>
      </w:r>
      <w:r w:rsidR="005E4656">
        <w:rPr>
          <w:rFonts w:ascii="Times New Roman" w:hAnsi="Times New Roman" w:cs="Times New Roman"/>
          <w:sz w:val="24"/>
          <w:szCs w:val="24"/>
        </w:rPr>
        <w:t>e</w:t>
      </w:r>
      <w:r w:rsidRPr="00FB2576">
        <w:rPr>
          <w:rFonts w:ascii="Times New Roman" w:hAnsi="Times New Roman" w:cs="Times New Roman"/>
          <w:sz w:val="24"/>
          <w:szCs w:val="24"/>
        </w:rPr>
        <w:t>s au niveau de la tête ou du cou (1). Ces cancers constituent un problème de santé publique</w:t>
      </w:r>
      <w:r w:rsidR="002C4CE2">
        <w:rPr>
          <w:rFonts w:ascii="Times New Roman" w:hAnsi="Times New Roman" w:cs="Times New Roman"/>
          <w:sz w:val="24"/>
          <w:szCs w:val="24"/>
        </w:rPr>
        <w:t xml:space="preserve"> et toujours responsable de mortalité et de morbidité considérable</w:t>
      </w:r>
      <w:r w:rsidRPr="00FB2576">
        <w:rPr>
          <w:rFonts w:ascii="Times New Roman" w:hAnsi="Times New Roman" w:cs="Times New Roman"/>
          <w:sz w:val="24"/>
          <w:szCs w:val="24"/>
        </w:rPr>
        <w:t xml:space="preserve"> malgré l’avancé des moye</w:t>
      </w:r>
      <w:r w:rsidR="005E4656">
        <w:rPr>
          <w:rFonts w:ascii="Times New Roman" w:hAnsi="Times New Roman" w:cs="Times New Roman"/>
          <w:sz w:val="24"/>
          <w:szCs w:val="24"/>
        </w:rPr>
        <w:t>n</w:t>
      </w:r>
      <w:r w:rsidRPr="00FB2576">
        <w:rPr>
          <w:rFonts w:ascii="Times New Roman" w:hAnsi="Times New Roman" w:cs="Times New Roman"/>
          <w:sz w:val="24"/>
          <w:szCs w:val="24"/>
        </w:rPr>
        <w:t xml:space="preserve">s de </w:t>
      </w:r>
      <w:r w:rsidR="005E4656">
        <w:rPr>
          <w:rFonts w:ascii="Times New Roman" w:hAnsi="Times New Roman" w:cs="Times New Roman"/>
          <w:sz w:val="24"/>
          <w:szCs w:val="24"/>
        </w:rPr>
        <w:t>diagnostic et thérapeutique</w:t>
      </w:r>
      <w:r w:rsidRPr="00FB2576">
        <w:rPr>
          <w:rFonts w:ascii="Times New Roman" w:hAnsi="Times New Roman" w:cs="Times New Roman"/>
          <w:sz w:val="24"/>
          <w:szCs w:val="24"/>
        </w:rPr>
        <w:t>(2).L’incidence de cette affection ne cesse pas de s’accroitre parallèlement aux frais de soins trop élevé</w:t>
      </w:r>
      <w:r w:rsidR="005E4656">
        <w:rPr>
          <w:rFonts w:ascii="Times New Roman" w:hAnsi="Times New Roman" w:cs="Times New Roman"/>
          <w:sz w:val="24"/>
          <w:szCs w:val="24"/>
        </w:rPr>
        <w:t>s</w:t>
      </w:r>
      <w:r w:rsidRPr="00FB2576">
        <w:rPr>
          <w:rFonts w:ascii="Times New Roman" w:hAnsi="Times New Roman" w:cs="Times New Roman"/>
          <w:sz w:val="24"/>
          <w:szCs w:val="24"/>
        </w:rPr>
        <w:t xml:space="preserve"> pour la plupart des malades cancéreux (3). Les objectifs ont été de rapporter les localisations des cancers des voies aéro-digestifs supérieurs et d’ajuster les différents moyens thérapeutiques</w:t>
      </w:r>
      <w:r w:rsidR="005269A4">
        <w:rPr>
          <w:rFonts w:ascii="Times New Roman" w:hAnsi="Times New Roman" w:cs="Times New Roman"/>
          <w:sz w:val="24"/>
          <w:szCs w:val="24"/>
        </w:rPr>
        <w:t xml:space="preserve"> disponibles</w:t>
      </w:r>
      <w:r w:rsidRPr="00FB2576">
        <w:rPr>
          <w:rFonts w:ascii="Times New Roman" w:hAnsi="Times New Roman" w:cs="Times New Roman"/>
          <w:sz w:val="24"/>
          <w:szCs w:val="24"/>
        </w:rPr>
        <w:t>.</w:t>
      </w:r>
    </w:p>
    <w:p w:rsidR="00B45887" w:rsidRDefault="00B45887" w:rsidP="00B45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BFF" w:rsidRPr="00B45887" w:rsidRDefault="00B45887" w:rsidP="00B45887">
      <w:pPr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FF"/>
          <w:sz w:val="24"/>
          <w:szCs w:val="24"/>
          <w:lang w:eastAsia="fr-FR"/>
        </w:rPr>
        <w:pict>
          <v:shape id="_x0000_s1028" type="#_x0000_t32" style="position:absolute;margin-left:103.15pt;margin-top:8.3pt;width:352.5pt;height:0;z-index:251660288" o:connectortype="straight" strokecolor="blue" strokeweight="1.5pt"/>
        </w:pict>
      </w:r>
      <w:r w:rsidRPr="00B45887">
        <w:rPr>
          <w:rFonts w:ascii="Times New Roman" w:hAnsi="Times New Roman" w:cs="Times New Roman"/>
          <w:b/>
          <w:bCs/>
          <w:color w:val="0000FF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atients et mé</w:t>
      </w:r>
      <w:r w:rsidRPr="00B45887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thode</w:t>
      </w:r>
    </w:p>
    <w:p w:rsidR="00B45887" w:rsidRDefault="00B45887" w:rsidP="00B45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B45887" w:rsidSect="00080AEC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525"/>
          <w:cols w:space="708"/>
          <w:docGrid w:linePitch="360"/>
        </w:sectPr>
      </w:pPr>
    </w:p>
    <w:p w:rsidR="00882047" w:rsidRDefault="00882047" w:rsidP="00B45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 s’agissait d’une é</w:t>
      </w:r>
      <w:r w:rsidRPr="00064F56">
        <w:rPr>
          <w:rFonts w:ascii="Times New Roman" w:hAnsi="Times New Roman" w:cs="Times New Roman"/>
          <w:sz w:val="24"/>
          <w:szCs w:val="24"/>
        </w:rPr>
        <w:t>tude rétrospecti</w:t>
      </w:r>
      <w:r>
        <w:rPr>
          <w:rFonts w:ascii="Times New Roman" w:hAnsi="Times New Roman" w:cs="Times New Roman"/>
          <w:sz w:val="24"/>
          <w:szCs w:val="24"/>
        </w:rPr>
        <w:t>ve, descriptive et bicentrique</w:t>
      </w:r>
      <w:r w:rsidRPr="00064F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étalée sur une période de 2 ans </w:t>
      </w:r>
      <w:r w:rsidR="00CC4251">
        <w:rPr>
          <w:rFonts w:ascii="Times New Roman" w:hAnsi="Times New Roman" w:cs="Times New Roman"/>
          <w:sz w:val="24"/>
          <w:szCs w:val="24"/>
        </w:rPr>
        <w:t xml:space="preserve">allant du </w:t>
      </w:r>
      <w:r>
        <w:rPr>
          <w:rFonts w:ascii="Times New Roman" w:hAnsi="Times New Roman" w:cs="Times New Roman"/>
          <w:sz w:val="24"/>
          <w:szCs w:val="24"/>
        </w:rPr>
        <w:t>janvier 2018</w:t>
      </w:r>
      <w:r w:rsidR="00CC4251">
        <w:rPr>
          <w:rFonts w:ascii="Times New Roman" w:hAnsi="Times New Roman" w:cs="Times New Roman"/>
          <w:sz w:val="24"/>
          <w:szCs w:val="24"/>
        </w:rPr>
        <w:t xml:space="preserve"> à décembre</w:t>
      </w:r>
      <w:r>
        <w:rPr>
          <w:rFonts w:ascii="Times New Roman" w:hAnsi="Times New Roman" w:cs="Times New Roman"/>
          <w:sz w:val="24"/>
          <w:szCs w:val="24"/>
        </w:rPr>
        <w:t xml:space="preserve"> 2019. Elle a été réalisée dans le service </w:t>
      </w:r>
      <w:r w:rsidR="005269A4">
        <w:rPr>
          <w:rFonts w:ascii="Times New Roman" w:hAnsi="Times New Roman" w:cs="Times New Roman"/>
          <w:sz w:val="24"/>
          <w:szCs w:val="24"/>
        </w:rPr>
        <w:t>d’</w:t>
      </w:r>
      <w:r>
        <w:rPr>
          <w:rFonts w:ascii="Times New Roman" w:hAnsi="Times New Roman" w:cs="Times New Roman"/>
          <w:sz w:val="24"/>
          <w:szCs w:val="24"/>
        </w:rPr>
        <w:t>ORL</w:t>
      </w:r>
      <w:r w:rsidR="00A56497">
        <w:rPr>
          <w:rFonts w:ascii="Times New Roman" w:hAnsi="Times New Roman" w:cs="Times New Roman"/>
          <w:sz w:val="24"/>
          <w:szCs w:val="24"/>
        </w:rPr>
        <w:t xml:space="preserve"> et Chirurgie cervico-faciale</w:t>
      </w:r>
      <w:r w:rsidR="00CE6BE2">
        <w:rPr>
          <w:rFonts w:ascii="Times New Roman" w:hAnsi="Times New Roman" w:cs="Times New Roman"/>
          <w:sz w:val="24"/>
          <w:szCs w:val="24"/>
        </w:rPr>
        <w:t xml:space="preserve"> </w:t>
      </w:r>
      <w:r w:rsidR="00CC4251">
        <w:rPr>
          <w:rFonts w:ascii="Times New Roman" w:hAnsi="Times New Roman" w:cs="Times New Roman"/>
          <w:sz w:val="24"/>
          <w:szCs w:val="24"/>
        </w:rPr>
        <w:t>du Centre</w:t>
      </w:r>
      <w:r w:rsidR="00CE6BE2">
        <w:rPr>
          <w:rFonts w:ascii="Times New Roman" w:hAnsi="Times New Roman" w:cs="Times New Roman"/>
          <w:sz w:val="24"/>
          <w:szCs w:val="24"/>
        </w:rPr>
        <w:t xml:space="preserve"> </w:t>
      </w:r>
      <w:r w:rsidR="00CC4251">
        <w:rPr>
          <w:rFonts w:ascii="Times New Roman" w:hAnsi="Times New Roman" w:cs="Times New Roman"/>
          <w:sz w:val="24"/>
          <w:szCs w:val="24"/>
        </w:rPr>
        <w:t xml:space="preserve">Hospitalier </w:t>
      </w:r>
      <w:r w:rsidR="005269A4">
        <w:rPr>
          <w:rFonts w:ascii="Times New Roman" w:hAnsi="Times New Roman" w:cs="Times New Roman"/>
          <w:sz w:val="24"/>
          <w:szCs w:val="24"/>
        </w:rPr>
        <w:t>Universitaire d’A</w:t>
      </w:r>
      <w:r>
        <w:rPr>
          <w:rFonts w:ascii="Times New Roman" w:hAnsi="Times New Roman" w:cs="Times New Roman"/>
          <w:sz w:val="24"/>
          <w:szCs w:val="24"/>
        </w:rPr>
        <w:t xml:space="preserve">ndohatapenaka d’une part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et du </w:t>
      </w:r>
      <w:r w:rsidR="005269A4">
        <w:rPr>
          <w:rFonts w:ascii="Times New Roman" w:hAnsi="Times New Roman" w:cs="Times New Roman"/>
          <w:sz w:val="24"/>
          <w:szCs w:val="24"/>
        </w:rPr>
        <w:t xml:space="preserve">Centre </w:t>
      </w:r>
      <w:r>
        <w:rPr>
          <w:rFonts w:ascii="Times New Roman" w:hAnsi="Times New Roman" w:cs="Times New Roman"/>
          <w:sz w:val="24"/>
          <w:szCs w:val="24"/>
        </w:rPr>
        <w:t>H</w:t>
      </w:r>
      <w:r w:rsidR="005269A4">
        <w:rPr>
          <w:rFonts w:ascii="Times New Roman" w:hAnsi="Times New Roman" w:cs="Times New Roman"/>
          <w:sz w:val="24"/>
          <w:szCs w:val="24"/>
        </w:rPr>
        <w:t xml:space="preserve">ospitalier de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269A4">
        <w:rPr>
          <w:rFonts w:ascii="Times New Roman" w:hAnsi="Times New Roman" w:cs="Times New Roman"/>
          <w:sz w:val="24"/>
          <w:szCs w:val="24"/>
        </w:rPr>
        <w:t>oavinandriana</w:t>
      </w:r>
      <w:r>
        <w:rPr>
          <w:rFonts w:ascii="Times New Roman" w:hAnsi="Times New Roman" w:cs="Times New Roman"/>
          <w:sz w:val="24"/>
          <w:szCs w:val="24"/>
        </w:rPr>
        <w:t xml:space="preserve"> d’autre part. Ont été inclus, tous les patients ayant u</w:t>
      </w:r>
      <w:r w:rsidR="005E4656">
        <w:rPr>
          <w:rFonts w:ascii="Times New Roman" w:hAnsi="Times New Roman" w:cs="Times New Roman"/>
          <w:sz w:val="24"/>
          <w:szCs w:val="24"/>
        </w:rPr>
        <w:t>n cancer des voies aéro-digestive</w:t>
      </w:r>
      <w:r>
        <w:rPr>
          <w:rFonts w:ascii="Times New Roman" w:hAnsi="Times New Roman" w:cs="Times New Roman"/>
          <w:sz w:val="24"/>
          <w:szCs w:val="24"/>
        </w:rPr>
        <w:t>s supérieur</w:t>
      </w:r>
      <w:r w:rsidR="005E46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documenté</w:t>
      </w:r>
      <w:r w:rsidR="005E465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et traité</w:t>
      </w:r>
      <w:r w:rsidR="005E465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64F56">
        <w:rPr>
          <w:rFonts w:ascii="Times New Roman" w:hAnsi="Times New Roman" w:cs="Times New Roman"/>
          <w:sz w:val="24"/>
          <w:szCs w:val="24"/>
        </w:rPr>
        <w:t>Nous avons étudié les pa</w:t>
      </w:r>
      <w:r>
        <w:rPr>
          <w:rFonts w:ascii="Times New Roman" w:hAnsi="Times New Roman" w:cs="Times New Roman"/>
          <w:sz w:val="24"/>
          <w:szCs w:val="24"/>
        </w:rPr>
        <w:t>ramètres sociodémographiques, clinico-paracliniques et thérapeutiques</w:t>
      </w:r>
      <w:r w:rsidRPr="00064F56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45887" w:rsidRDefault="00B45887" w:rsidP="00B45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45887" w:rsidSect="00B4588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37DF6" w:rsidRDefault="00637DF6" w:rsidP="00B45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958" w:rsidRPr="00B45887" w:rsidRDefault="00B45887" w:rsidP="00B45887">
      <w:pPr>
        <w:spacing w:after="0" w:line="240" w:lineRule="auto"/>
        <w:rPr>
          <w:rFonts w:ascii="Times New Roman" w:hAnsi="Times New Roman"/>
          <w:b/>
          <w:color w:val="0000FF"/>
          <w:sz w:val="24"/>
        </w:rPr>
      </w:pPr>
      <w:r>
        <w:rPr>
          <w:rFonts w:ascii="Times New Roman" w:hAnsi="Times New Roman"/>
          <w:b/>
          <w:noProof/>
          <w:color w:val="0000FF"/>
          <w:sz w:val="24"/>
          <w:lang w:eastAsia="fr-FR"/>
        </w:rPr>
        <w:pict>
          <v:shape id="_x0000_s1029" type="#_x0000_t32" style="position:absolute;margin-left:54.4pt;margin-top:8pt;width:398.25pt;height:.05pt;z-index:251661312" o:connectortype="straight" strokecolor="blue" strokeweight="1.5pt"/>
        </w:pict>
      </w:r>
      <w:r w:rsidRPr="00B45887">
        <w:rPr>
          <w:rFonts w:ascii="Times New Roman" w:hAnsi="Times New Roman"/>
          <w:b/>
          <w:color w:val="0000FF"/>
          <w:sz w:val="24"/>
        </w:rPr>
        <w:t>Résultats</w:t>
      </w:r>
    </w:p>
    <w:p w:rsidR="00B45887" w:rsidRDefault="00B45887" w:rsidP="00B45887">
      <w:pPr>
        <w:spacing w:after="0" w:line="240" w:lineRule="auto"/>
        <w:jc w:val="both"/>
        <w:sectPr w:rsidR="00B45887" w:rsidSect="00B458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45887" w:rsidRPr="00BA0187" w:rsidRDefault="004D61C8" w:rsidP="00B45887">
      <w:pPr>
        <w:spacing w:after="0" w:line="240" w:lineRule="auto"/>
        <w:ind w:firstLine="708"/>
        <w:jc w:val="both"/>
        <w:rPr>
          <w:sz w:val="24"/>
          <w:szCs w:val="24"/>
        </w:rPr>
      </w:pPr>
      <w:r w:rsidRPr="00BA0187">
        <w:rPr>
          <w:sz w:val="24"/>
          <w:szCs w:val="24"/>
        </w:rPr>
        <w:lastRenderedPageBreak/>
        <w:t>Un total de 95</w:t>
      </w:r>
      <w:r w:rsidR="00CE6BE2" w:rsidRPr="00BA0187">
        <w:rPr>
          <w:sz w:val="24"/>
          <w:szCs w:val="24"/>
        </w:rPr>
        <w:t xml:space="preserve"> patients ont</w:t>
      </w:r>
      <w:r w:rsidR="00A56497" w:rsidRPr="00BA0187">
        <w:rPr>
          <w:sz w:val="24"/>
          <w:szCs w:val="24"/>
        </w:rPr>
        <w:t xml:space="preserve"> été sélectionnés. </w:t>
      </w:r>
      <w:r w:rsidR="00B23AFD" w:rsidRPr="00BA0187">
        <w:rPr>
          <w:sz w:val="24"/>
          <w:szCs w:val="24"/>
        </w:rPr>
        <w:t>Le genre masculin prédominait dans 64,21% des cas</w:t>
      </w:r>
      <w:r w:rsidR="00754676" w:rsidRPr="00BA0187">
        <w:rPr>
          <w:sz w:val="24"/>
          <w:szCs w:val="24"/>
        </w:rPr>
        <w:t xml:space="preserve"> correspond à un sexe ratio de 1,79</w:t>
      </w:r>
      <w:r w:rsidR="00B23AFD" w:rsidRPr="00BA0187">
        <w:rPr>
          <w:sz w:val="24"/>
          <w:szCs w:val="24"/>
        </w:rPr>
        <w:t>. La tranche d’âge la plus concerné</w:t>
      </w:r>
      <w:r w:rsidR="005E4656" w:rsidRPr="00BA0187">
        <w:rPr>
          <w:sz w:val="24"/>
          <w:szCs w:val="24"/>
        </w:rPr>
        <w:t>e</w:t>
      </w:r>
      <w:r w:rsidR="00B23AFD" w:rsidRPr="00BA0187">
        <w:rPr>
          <w:sz w:val="24"/>
          <w:szCs w:val="24"/>
        </w:rPr>
        <w:t xml:space="preserve"> se situait entre 51 à 60 ans avec une moyenne de 48 ans</w:t>
      </w:r>
      <w:r w:rsidR="00754676" w:rsidRPr="00BA0187">
        <w:rPr>
          <w:sz w:val="24"/>
          <w:szCs w:val="24"/>
        </w:rPr>
        <w:t xml:space="preserve"> (figure </w:t>
      </w:r>
      <w:r w:rsidR="00C5727F" w:rsidRPr="00BA0187">
        <w:rPr>
          <w:sz w:val="24"/>
          <w:szCs w:val="24"/>
        </w:rPr>
        <w:t>1</w:t>
      </w:r>
      <w:r w:rsidR="00754676" w:rsidRPr="00BA0187">
        <w:rPr>
          <w:sz w:val="24"/>
          <w:szCs w:val="24"/>
        </w:rPr>
        <w:t>)</w:t>
      </w:r>
      <w:r w:rsidR="00B23AFD" w:rsidRPr="00BA0187">
        <w:rPr>
          <w:sz w:val="24"/>
          <w:szCs w:val="24"/>
        </w:rPr>
        <w:t>.</w:t>
      </w:r>
    </w:p>
    <w:p w:rsidR="00B45887" w:rsidRPr="00B45887" w:rsidRDefault="00B45887" w:rsidP="00B4588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B1FBE">
        <w:rPr>
          <w:rFonts w:ascii="Times New Roman" w:hAnsi="Times New Roman" w:cs="Times New Roman"/>
          <w:sz w:val="20"/>
          <w:szCs w:val="20"/>
          <w:u w:val="single"/>
        </w:rPr>
        <w:t>Figure 1</w:t>
      </w:r>
      <w:r w:rsidRPr="00CE6BE2">
        <w:rPr>
          <w:rFonts w:ascii="Times New Roman" w:hAnsi="Times New Roman" w:cs="Times New Roman"/>
          <w:sz w:val="20"/>
          <w:szCs w:val="20"/>
        </w:rPr>
        <w:t> : Répartition selon l’âge</w:t>
      </w:r>
    </w:p>
    <w:p w:rsidR="00B45887" w:rsidRDefault="00B45887" w:rsidP="00B45887">
      <w:pPr>
        <w:spacing w:after="0" w:line="240" w:lineRule="auto"/>
        <w:ind w:firstLine="708"/>
        <w:jc w:val="both"/>
      </w:pPr>
      <w:r w:rsidRPr="00B45887">
        <w:drawing>
          <wp:inline distT="0" distB="0" distL="0" distR="0">
            <wp:extent cx="2386821" cy="1371600"/>
            <wp:effectExtent l="19050" t="0" r="13479" b="0"/>
            <wp:docPr id="4" name="Graphique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FA37C664-E8C8-110E-15AE-C51CA0E234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06C99" w:rsidRDefault="00B23AFD" w:rsidP="00C06C99">
      <w:pPr>
        <w:spacing w:after="0" w:line="240" w:lineRule="auto"/>
        <w:jc w:val="both"/>
        <w:rPr>
          <w:sz w:val="24"/>
          <w:szCs w:val="24"/>
        </w:rPr>
      </w:pPr>
      <w:r w:rsidRPr="00BA0187">
        <w:rPr>
          <w:sz w:val="24"/>
          <w:szCs w:val="24"/>
        </w:rPr>
        <w:lastRenderedPageBreak/>
        <w:t xml:space="preserve"> </w:t>
      </w:r>
      <w:bookmarkStart w:id="0" w:name="_Hlk156346358"/>
      <w:r w:rsidRPr="00BA0187">
        <w:rPr>
          <w:sz w:val="24"/>
          <w:szCs w:val="24"/>
        </w:rPr>
        <w:t>Les signes d’appels</w:t>
      </w:r>
      <w:r w:rsidR="00534B3C" w:rsidRPr="00BA0187">
        <w:rPr>
          <w:sz w:val="24"/>
          <w:szCs w:val="24"/>
        </w:rPr>
        <w:t xml:space="preserve"> en faveur d’un cancer des voies aéro-digest</w:t>
      </w:r>
      <w:r w:rsidR="00A4227E" w:rsidRPr="00BA0187">
        <w:rPr>
          <w:sz w:val="24"/>
          <w:szCs w:val="24"/>
        </w:rPr>
        <w:t>ives</w:t>
      </w:r>
      <w:r w:rsidR="00534B3C" w:rsidRPr="00BA0187">
        <w:rPr>
          <w:sz w:val="24"/>
          <w:szCs w:val="24"/>
        </w:rPr>
        <w:t xml:space="preserve"> supérieur</w:t>
      </w:r>
      <w:r w:rsidR="00A4227E" w:rsidRPr="00BA0187">
        <w:rPr>
          <w:sz w:val="24"/>
          <w:szCs w:val="24"/>
        </w:rPr>
        <w:t>e</w:t>
      </w:r>
      <w:r w:rsidR="00534B3C" w:rsidRPr="00BA0187">
        <w:rPr>
          <w:sz w:val="24"/>
          <w:szCs w:val="24"/>
        </w:rPr>
        <w:t>s</w:t>
      </w:r>
      <w:r w:rsidRPr="00BA0187">
        <w:rPr>
          <w:sz w:val="24"/>
          <w:szCs w:val="24"/>
        </w:rPr>
        <w:t xml:space="preserve"> étaient majoritairement représentés par une dysphagie et altération de l’état général</w:t>
      </w:r>
      <w:r w:rsidR="00534B3C" w:rsidRPr="00BA0187">
        <w:rPr>
          <w:sz w:val="24"/>
          <w:szCs w:val="24"/>
        </w:rPr>
        <w:t xml:space="preserve"> respectivement </w:t>
      </w:r>
      <w:r w:rsidR="005E4656" w:rsidRPr="00BA0187">
        <w:rPr>
          <w:sz w:val="24"/>
          <w:szCs w:val="24"/>
        </w:rPr>
        <w:t xml:space="preserve">de </w:t>
      </w:r>
      <w:r w:rsidR="00E607CD" w:rsidRPr="00BA0187">
        <w:rPr>
          <w:sz w:val="24"/>
          <w:szCs w:val="24"/>
        </w:rPr>
        <w:t>21</w:t>
      </w:r>
      <w:r w:rsidR="00534B3C" w:rsidRPr="00BA0187">
        <w:rPr>
          <w:sz w:val="24"/>
          <w:szCs w:val="24"/>
        </w:rPr>
        <w:t>,</w:t>
      </w:r>
      <w:r w:rsidR="00E607CD" w:rsidRPr="00BA0187">
        <w:rPr>
          <w:sz w:val="24"/>
          <w:szCs w:val="24"/>
        </w:rPr>
        <w:t>25</w:t>
      </w:r>
      <w:r w:rsidR="00534B3C" w:rsidRPr="00BA0187">
        <w:rPr>
          <w:sz w:val="24"/>
          <w:szCs w:val="24"/>
        </w:rPr>
        <w:t xml:space="preserve">% et </w:t>
      </w:r>
      <w:r w:rsidR="00E607CD" w:rsidRPr="00BA0187">
        <w:rPr>
          <w:sz w:val="24"/>
          <w:szCs w:val="24"/>
        </w:rPr>
        <w:t>23</w:t>
      </w:r>
      <w:r w:rsidR="00534B3C" w:rsidRPr="00BA0187">
        <w:rPr>
          <w:sz w:val="24"/>
          <w:szCs w:val="24"/>
        </w:rPr>
        <w:t>,</w:t>
      </w:r>
      <w:r w:rsidR="00E607CD" w:rsidRPr="00BA0187">
        <w:rPr>
          <w:sz w:val="24"/>
          <w:szCs w:val="24"/>
        </w:rPr>
        <w:t>15</w:t>
      </w:r>
      <w:r w:rsidR="00534B3C" w:rsidRPr="00BA0187">
        <w:rPr>
          <w:sz w:val="24"/>
          <w:szCs w:val="24"/>
        </w:rPr>
        <w:t xml:space="preserve"> % </w:t>
      </w:r>
      <w:bookmarkEnd w:id="0"/>
      <w:r w:rsidR="00534B3C" w:rsidRPr="00BA0187">
        <w:rPr>
          <w:sz w:val="24"/>
          <w:szCs w:val="24"/>
        </w:rPr>
        <w:t>(</w:t>
      </w:r>
      <w:r w:rsidR="00E607CD" w:rsidRPr="00BA0187">
        <w:rPr>
          <w:sz w:val="24"/>
          <w:szCs w:val="24"/>
        </w:rPr>
        <w:t xml:space="preserve">Tableau </w:t>
      </w:r>
      <w:r w:rsidR="00C5727F" w:rsidRPr="00BA0187">
        <w:rPr>
          <w:sz w:val="24"/>
          <w:szCs w:val="24"/>
        </w:rPr>
        <w:t>I</w:t>
      </w:r>
      <w:r w:rsidR="00534B3C" w:rsidRPr="00BA0187">
        <w:rPr>
          <w:sz w:val="24"/>
          <w:szCs w:val="24"/>
        </w:rPr>
        <w:t>)</w:t>
      </w:r>
      <w:r w:rsidRPr="00BA0187">
        <w:rPr>
          <w:sz w:val="24"/>
          <w:szCs w:val="24"/>
        </w:rPr>
        <w:t xml:space="preserve">. </w:t>
      </w:r>
      <w:bookmarkStart w:id="1" w:name="_Hlk156348611"/>
    </w:p>
    <w:p w:rsidR="00C06C99" w:rsidRDefault="00C06C99" w:rsidP="00B4588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C06C99" w:rsidRDefault="00C06C99" w:rsidP="00C06C99">
      <w:pPr>
        <w:spacing w:after="0" w:line="240" w:lineRule="auto"/>
        <w:jc w:val="both"/>
        <w:rPr>
          <w:sz w:val="24"/>
          <w:szCs w:val="24"/>
        </w:rPr>
      </w:pPr>
      <w:r w:rsidRPr="00BA0187">
        <w:rPr>
          <w:sz w:val="24"/>
          <w:szCs w:val="24"/>
        </w:rPr>
        <w:t xml:space="preserve">Les antécédents les plus répertoriés au cours d’un cancer des voies aéro-digestives supérieures sont des habitudes toxiques dont l’alcool et le tabac étaient recensé dans 90 % des cas (Tableau II). </w:t>
      </w:r>
    </w:p>
    <w:p w:rsidR="00C06C99" w:rsidRDefault="00C06C99" w:rsidP="00C06C99">
      <w:pPr>
        <w:spacing w:line="240" w:lineRule="auto"/>
        <w:rPr>
          <w:rFonts w:ascii="Times New Roman" w:hAnsi="Times New Roman" w:cs="Times New Roman"/>
          <w:sz w:val="20"/>
          <w:szCs w:val="20"/>
          <w:lang w:eastAsia="fr-FR"/>
        </w:rPr>
      </w:pPr>
    </w:p>
    <w:p w:rsidR="003D148B" w:rsidRDefault="003D148B" w:rsidP="00C06C99">
      <w:pPr>
        <w:spacing w:line="240" w:lineRule="auto"/>
        <w:rPr>
          <w:rFonts w:ascii="Times New Roman" w:hAnsi="Times New Roman" w:cs="Times New Roman"/>
          <w:sz w:val="20"/>
          <w:szCs w:val="20"/>
          <w:lang w:eastAsia="fr-FR"/>
        </w:rPr>
      </w:pPr>
    </w:p>
    <w:p w:rsidR="003D148B" w:rsidRDefault="003D148B" w:rsidP="00C06C99">
      <w:pPr>
        <w:spacing w:line="240" w:lineRule="auto"/>
        <w:rPr>
          <w:rFonts w:ascii="Times New Roman" w:hAnsi="Times New Roman" w:cs="Times New Roman"/>
          <w:sz w:val="20"/>
          <w:szCs w:val="20"/>
          <w:lang w:eastAsia="fr-FR"/>
        </w:rPr>
      </w:pPr>
    </w:p>
    <w:p w:rsidR="00C06C99" w:rsidRPr="00CE6BE2" w:rsidRDefault="00C06C99" w:rsidP="00C06C99">
      <w:pPr>
        <w:spacing w:line="240" w:lineRule="auto"/>
        <w:rPr>
          <w:rFonts w:ascii="Times New Roman" w:hAnsi="Times New Roman" w:cs="Times New Roman"/>
          <w:sz w:val="20"/>
          <w:szCs w:val="20"/>
          <w:lang w:eastAsia="fr-FR"/>
        </w:rPr>
      </w:pPr>
      <w:r w:rsidRPr="00DB1FBE">
        <w:rPr>
          <w:rFonts w:ascii="Times New Roman" w:hAnsi="Times New Roman" w:cs="Times New Roman"/>
          <w:sz w:val="20"/>
          <w:szCs w:val="20"/>
          <w:u w:val="single"/>
          <w:lang w:eastAsia="fr-FR"/>
        </w:rPr>
        <w:lastRenderedPageBreak/>
        <w:t>Tableau I</w:t>
      </w:r>
      <w:r w:rsidRPr="00CE6BE2">
        <w:rPr>
          <w:rFonts w:ascii="Times New Roman" w:hAnsi="Times New Roman" w:cs="Times New Roman"/>
          <w:sz w:val="20"/>
          <w:szCs w:val="20"/>
          <w:lang w:eastAsia="fr-FR"/>
        </w:rPr>
        <w:t xml:space="preserve"> : </w:t>
      </w:r>
      <w:r>
        <w:rPr>
          <w:rFonts w:ascii="Times New Roman" w:hAnsi="Times New Roman" w:cs="Times New Roman"/>
          <w:sz w:val="20"/>
          <w:szCs w:val="20"/>
          <w:lang w:eastAsia="fr-FR"/>
        </w:rPr>
        <w:t xml:space="preserve"> S</w:t>
      </w:r>
      <w:r w:rsidRPr="00CE6BE2">
        <w:rPr>
          <w:rFonts w:ascii="Times New Roman" w:hAnsi="Times New Roman" w:cs="Times New Roman"/>
          <w:sz w:val="20"/>
          <w:szCs w:val="20"/>
          <w:lang w:eastAsia="fr-FR"/>
        </w:rPr>
        <w:t>ignes d’appel</w:t>
      </w:r>
    </w:p>
    <w:tbl>
      <w:tblPr>
        <w:tblStyle w:val="Grilledutableau"/>
        <w:tblW w:w="0" w:type="auto"/>
        <w:tblLook w:val="04A0"/>
      </w:tblPr>
      <w:tblGrid>
        <w:gridCol w:w="1951"/>
        <w:gridCol w:w="1632"/>
      </w:tblGrid>
      <w:tr w:rsidR="00C06C99" w:rsidRPr="00CE6BE2" w:rsidTr="00C06C99">
        <w:trPr>
          <w:trHeight w:val="171"/>
        </w:trPr>
        <w:tc>
          <w:tcPr>
            <w:tcW w:w="1951" w:type="dxa"/>
          </w:tcPr>
          <w:p w:rsidR="00C06C99" w:rsidRPr="00CE6BE2" w:rsidRDefault="00C06C99" w:rsidP="00BB00C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Signes d’appel</w:t>
            </w:r>
          </w:p>
        </w:tc>
        <w:tc>
          <w:tcPr>
            <w:tcW w:w="1632" w:type="dxa"/>
          </w:tcPr>
          <w:p w:rsidR="00C06C99" w:rsidRPr="00CE6BE2" w:rsidRDefault="00C06C99" w:rsidP="00BB00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Pourcentage (%)</w:t>
            </w:r>
          </w:p>
        </w:tc>
      </w:tr>
      <w:tr w:rsidR="00C06C99" w:rsidRPr="00CE6BE2" w:rsidTr="00C06C99">
        <w:trPr>
          <w:trHeight w:val="171"/>
        </w:trPr>
        <w:tc>
          <w:tcPr>
            <w:tcW w:w="1951" w:type="dxa"/>
          </w:tcPr>
          <w:p w:rsidR="00C06C99" w:rsidRPr="00CE6BE2" w:rsidRDefault="00C06C99" w:rsidP="00BB00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Dysphagie </w:t>
            </w:r>
          </w:p>
        </w:tc>
        <w:tc>
          <w:tcPr>
            <w:tcW w:w="1632" w:type="dxa"/>
          </w:tcPr>
          <w:p w:rsidR="00C06C99" w:rsidRPr="00CE6BE2" w:rsidRDefault="00C06C99" w:rsidP="00BB0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sz w:val="20"/>
                <w:szCs w:val="20"/>
              </w:rPr>
              <w:t>21,25</w:t>
            </w:r>
          </w:p>
        </w:tc>
      </w:tr>
      <w:tr w:rsidR="00C06C99" w:rsidRPr="00CE6BE2" w:rsidTr="00C06C99">
        <w:trPr>
          <w:trHeight w:val="350"/>
        </w:trPr>
        <w:tc>
          <w:tcPr>
            <w:tcW w:w="1951" w:type="dxa"/>
          </w:tcPr>
          <w:p w:rsidR="00C06C99" w:rsidRPr="00CE6BE2" w:rsidRDefault="00C06C99" w:rsidP="00BB00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Altération de l’état général </w:t>
            </w:r>
          </w:p>
        </w:tc>
        <w:tc>
          <w:tcPr>
            <w:tcW w:w="1632" w:type="dxa"/>
          </w:tcPr>
          <w:p w:rsidR="00C06C99" w:rsidRPr="00CE6BE2" w:rsidRDefault="00C06C99" w:rsidP="00BB0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sz w:val="20"/>
                <w:szCs w:val="20"/>
              </w:rPr>
              <w:t>23,15</w:t>
            </w:r>
          </w:p>
        </w:tc>
      </w:tr>
      <w:tr w:rsidR="00C06C99" w:rsidRPr="00CE6BE2" w:rsidTr="00C06C99">
        <w:trPr>
          <w:trHeight w:val="340"/>
        </w:trPr>
        <w:tc>
          <w:tcPr>
            <w:tcW w:w="1951" w:type="dxa"/>
          </w:tcPr>
          <w:p w:rsidR="00C06C99" w:rsidRPr="00CE6BE2" w:rsidRDefault="00C06C99" w:rsidP="00BB00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sz w:val="20"/>
                <w:szCs w:val="20"/>
              </w:rPr>
              <w:t>Adénopathie cervicale</w:t>
            </w:r>
          </w:p>
        </w:tc>
        <w:tc>
          <w:tcPr>
            <w:tcW w:w="1632" w:type="dxa"/>
          </w:tcPr>
          <w:p w:rsidR="00C06C99" w:rsidRPr="00CE6BE2" w:rsidRDefault="00C06C99" w:rsidP="00BB0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sz w:val="20"/>
                <w:szCs w:val="20"/>
              </w:rPr>
              <w:t>11,6</w:t>
            </w:r>
          </w:p>
        </w:tc>
      </w:tr>
      <w:tr w:rsidR="00C06C99" w:rsidRPr="00CE6BE2" w:rsidTr="00C06C99">
        <w:trPr>
          <w:trHeight w:val="171"/>
        </w:trPr>
        <w:tc>
          <w:tcPr>
            <w:tcW w:w="1951" w:type="dxa"/>
          </w:tcPr>
          <w:p w:rsidR="00C06C99" w:rsidRPr="00CE6BE2" w:rsidRDefault="00C06C99" w:rsidP="00BB00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Dyspnée </w:t>
            </w:r>
          </w:p>
        </w:tc>
        <w:tc>
          <w:tcPr>
            <w:tcW w:w="1632" w:type="dxa"/>
          </w:tcPr>
          <w:p w:rsidR="00C06C99" w:rsidRPr="00CE6BE2" w:rsidRDefault="00C06C99" w:rsidP="00BB0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sz w:val="20"/>
                <w:szCs w:val="20"/>
              </w:rPr>
              <w:t>10,2</w:t>
            </w:r>
          </w:p>
        </w:tc>
      </w:tr>
      <w:tr w:rsidR="00C06C99" w:rsidRPr="00CE6BE2" w:rsidTr="00C06C99">
        <w:trPr>
          <w:trHeight w:val="180"/>
        </w:trPr>
        <w:tc>
          <w:tcPr>
            <w:tcW w:w="1951" w:type="dxa"/>
          </w:tcPr>
          <w:p w:rsidR="00C06C99" w:rsidRPr="00CE6BE2" w:rsidRDefault="00C06C99" w:rsidP="00BB00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sz w:val="20"/>
                <w:szCs w:val="20"/>
              </w:rPr>
              <w:t>Dysphonie</w:t>
            </w:r>
          </w:p>
        </w:tc>
        <w:tc>
          <w:tcPr>
            <w:tcW w:w="1632" w:type="dxa"/>
          </w:tcPr>
          <w:p w:rsidR="00C06C99" w:rsidRPr="00CE6BE2" w:rsidRDefault="00C06C99" w:rsidP="00BB0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sz w:val="20"/>
                <w:szCs w:val="20"/>
              </w:rPr>
              <w:t>8,2</w:t>
            </w:r>
          </w:p>
        </w:tc>
      </w:tr>
      <w:tr w:rsidR="00C06C99" w:rsidRPr="00CE6BE2" w:rsidTr="00C06C99">
        <w:trPr>
          <w:trHeight w:val="171"/>
        </w:trPr>
        <w:tc>
          <w:tcPr>
            <w:tcW w:w="1951" w:type="dxa"/>
          </w:tcPr>
          <w:p w:rsidR="00C06C99" w:rsidRPr="00CE6BE2" w:rsidRDefault="00C06C99" w:rsidP="00BB00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Epistaxis </w:t>
            </w:r>
          </w:p>
        </w:tc>
        <w:tc>
          <w:tcPr>
            <w:tcW w:w="1632" w:type="dxa"/>
          </w:tcPr>
          <w:p w:rsidR="00C06C99" w:rsidRPr="00CE6BE2" w:rsidRDefault="00C06C99" w:rsidP="00BB0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</w:tr>
      <w:tr w:rsidR="00C06C99" w:rsidRPr="00CE6BE2" w:rsidTr="00C06C99">
        <w:trPr>
          <w:trHeight w:val="171"/>
        </w:trPr>
        <w:tc>
          <w:tcPr>
            <w:tcW w:w="1951" w:type="dxa"/>
          </w:tcPr>
          <w:p w:rsidR="00C06C99" w:rsidRPr="00CE6BE2" w:rsidRDefault="00C06C99" w:rsidP="00BB00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Obstruction nasale </w:t>
            </w:r>
          </w:p>
        </w:tc>
        <w:tc>
          <w:tcPr>
            <w:tcW w:w="1632" w:type="dxa"/>
          </w:tcPr>
          <w:p w:rsidR="00C06C99" w:rsidRPr="00CE6BE2" w:rsidRDefault="00C06C99" w:rsidP="00BB0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sz w:val="20"/>
                <w:szCs w:val="20"/>
              </w:rPr>
              <w:t>8,4</w:t>
            </w:r>
          </w:p>
        </w:tc>
      </w:tr>
      <w:tr w:rsidR="00C06C99" w:rsidRPr="00CE6BE2" w:rsidTr="00C06C99">
        <w:trPr>
          <w:trHeight w:val="180"/>
        </w:trPr>
        <w:tc>
          <w:tcPr>
            <w:tcW w:w="1951" w:type="dxa"/>
          </w:tcPr>
          <w:p w:rsidR="00C06C99" w:rsidRPr="00CE6BE2" w:rsidRDefault="00C06C99" w:rsidP="00BB00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sz w:val="20"/>
                <w:szCs w:val="20"/>
              </w:rPr>
              <w:t>Autres signes</w:t>
            </w:r>
          </w:p>
        </w:tc>
        <w:tc>
          <w:tcPr>
            <w:tcW w:w="1632" w:type="dxa"/>
          </w:tcPr>
          <w:p w:rsidR="00C06C99" w:rsidRPr="00CE6BE2" w:rsidRDefault="00C06C99" w:rsidP="00BB0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BE2">
              <w:rPr>
                <w:rFonts w:ascii="Times New Roman" w:eastAsia="Calibri" w:hAnsi="Times New Roman" w:cs="Times New Roman"/>
                <w:sz w:val="20"/>
                <w:szCs w:val="20"/>
              </w:rPr>
              <w:t>13,8</w:t>
            </w:r>
          </w:p>
        </w:tc>
      </w:tr>
    </w:tbl>
    <w:p w:rsidR="00C06C99" w:rsidRDefault="00C06C99" w:rsidP="00B4588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C06C99" w:rsidRPr="00C06C99" w:rsidRDefault="00C06C99" w:rsidP="00C06C99">
      <w:pPr>
        <w:spacing w:line="240" w:lineRule="auto"/>
        <w:rPr>
          <w:rFonts w:ascii="Times New Roman" w:hAnsi="Times New Roman" w:cs="Times New Roman"/>
          <w:sz w:val="20"/>
          <w:szCs w:val="20"/>
          <w:lang w:eastAsia="fr-FR"/>
        </w:rPr>
      </w:pPr>
      <w:bookmarkStart w:id="2" w:name="_Hlk156607980"/>
      <w:bookmarkEnd w:id="1"/>
      <w:r w:rsidRPr="00DB1FBE">
        <w:rPr>
          <w:rFonts w:ascii="Times New Roman" w:hAnsi="Times New Roman" w:cs="Times New Roman"/>
          <w:sz w:val="20"/>
          <w:szCs w:val="20"/>
          <w:u w:val="single"/>
          <w:lang w:eastAsia="fr-FR"/>
        </w:rPr>
        <w:t>Tableau II</w:t>
      </w:r>
      <w:r w:rsidRPr="00C06C99">
        <w:rPr>
          <w:rFonts w:ascii="Times New Roman" w:hAnsi="Times New Roman" w:cs="Times New Roman"/>
          <w:sz w:val="20"/>
          <w:szCs w:val="20"/>
          <w:lang w:eastAsia="fr-FR"/>
        </w:rPr>
        <w:t xml:space="preserve"> : Antécédents </w:t>
      </w:r>
    </w:p>
    <w:tbl>
      <w:tblPr>
        <w:tblStyle w:val="Grilledutableau"/>
        <w:tblW w:w="0" w:type="auto"/>
        <w:tblLook w:val="04A0"/>
      </w:tblPr>
      <w:tblGrid>
        <w:gridCol w:w="1775"/>
        <w:gridCol w:w="1693"/>
      </w:tblGrid>
      <w:tr w:rsidR="00C06C99" w:rsidRPr="00CE6BE2" w:rsidTr="00BB00CB">
        <w:trPr>
          <w:trHeight w:val="264"/>
        </w:trPr>
        <w:tc>
          <w:tcPr>
            <w:tcW w:w="1775" w:type="dxa"/>
          </w:tcPr>
          <w:p w:rsidR="00C06C99" w:rsidRPr="00CE6BE2" w:rsidRDefault="00C06C99" w:rsidP="00BB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Antécédents </w:t>
            </w:r>
          </w:p>
        </w:tc>
        <w:tc>
          <w:tcPr>
            <w:tcW w:w="1693" w:type="dxa"/>
          </w:tcPr>
          <w:p w:rsidR="00C06C99" w:rsidRPr="00CE6BE2" w:rsidRDefault="00C06C99" w:rsidP="00BB00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  <w:t>Pourcentage (%)</w:t>
            </w:r>
          </w:p>
        </w:tc>
      </w:tr>
      <w:tr w:rsidR="00C06C99" w:rsidRPr="00CE6BE2" w:rsidTr="00BB00CB">
        <w:trPr>
          <w:trHeight w:val="264"/>
        </w:trPr>
        <w:tc>
          <w:tcPr>
            <w:tcW w:w="1775" w:type="dxa"/>
          </w:tcPr>
          <w:p w:rsidR="00C06C99" w:rsidRPr="00CE6BE2" w:rsidRDefault="00C06C99" w:rsidP="00BB00CB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Ethylo-tabagique</w:t>
            </w:r>
          </w:p>
        </w:tc>
        <w:tc>
          <w:tcPr>
            <w:tcW w:w="1693" w:type="dxa"/>
          </w:tcPr>
          <w:p w:rsidR="00C06C99" w:rsidRPr="00CE6BE2" w:rsidRDefault="00C06C99" w:rsidP="00BB0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67</w:t>
            </w:r>
          </w:p>
        </w:tc>
      </w:tr>
      <w:tr w:rsidR="00C06C99" w:rsidRPr="00CE6BE2" w:rsidTr="00BB00CB">
        <w:trPr>
          <w:trHeight w:val="264"/>
        </w:trPr>
        <w:tc>
          <w:tcPr>
            <w:tcW w:w="1775" w:type="dxa"/>
          </w:tcPr>
          <w:p w:rsidR="00C06C99" w:rsidRPr="00CE6BE2" w:rsidRDefault="00C06C99" w:rsidP="00BB00CB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 xml:space="preserve">Tabagique </w:t>
            </w:r>
          </w:p>
        </w:tc>
        <w:tc>
          <w:tcPr>
            <w:tcW w:w="1693" w:type="dxa"/>
          </w:tcPr>
          <w:p w:rsidR="00C06C99" w:rsidRPr="00CE6BE2" w:rsidRDefault="00C06C99" w:rsidP="00BB0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14</w:t>
            </w:r>
          </w:p>
        </w:tc>
      </w:tr>
      <w:tr w:rsidR="00C06C99" w:rsidRPr="00CE6BE2" w:rsidTr="00BB00CB">
        <w:trPr>
          <w:trHeight w:val="278"/>
        </w:trPr>
        <w:tc>
          <w:tcPr>
            <w:tcW w:w="1775" w:type="dxa"/>
          </w:tcPr>
          <w:p w:rsidR="00C06C99" w:rsidRPr="00CE6BE2" w:rsidRDefault="00C06C99" w:rsidP="00BB00CB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 xml:space="preserve">Non éthylo-tabagique </w:t>
            </w:r>
          </w:p>
        </w:tc>
        <w:tc>
          <w:tcPr>
            <w:tcW w:w="1693" w:type="dxa"/>
          </w:tcPr>
          <w:p w:rsidR="00C06C99" w:rsidRPr="00CE6BE2" w:rsidRDefault="00C06C99" w:rsidP="00BB0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10</w:t>
            </w:r>
          </w:p>
        </w:tc>
      </w:tr>
      <w:tr w:rsidR="00C06C99" w:rsidRPr="00CE6BE2" w:rsidTr="00BB00CB">
        <w:trPr>
          <w:trHeight w:val="278"/>
        </w:trPr>
        <w:tc>
          <w:tcPr>
            <w:tcW w:w="1775" w:type="dxa"/>
          </w:tcPr>
          <w:p w:rsidR="00C06C99" w:rsidRPr="00CE6BE2" w:rsidRDefault="00C06C99" w:rsidP="00BB00CB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 xml:space="preserve">Ethylique </w:t>
            </w:r>
          </w:p>
        </w:tc>
        <w:tc>
          <w:tcPr>
            <w:tcW w:w="1693" w:type="dxa"/>
          </w:tcPr>
          <w:p w:rsidR="00C06C99" w:rsidRPr="00CE6BE2" w:rsidRDefault="00C06C99" w:rsidP="00BB0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9</w:t>
            </w:r>
          </w:p>
        </w:tc>
      </w:tr>
    </w:tbl>
    <w:p w:rsidR="00DB1FBE" w:rsidRDefault="00DB1FBE" w:rsidP="00DB1FBE">
      <w:pPr>
        <w:spacing w:after="0" w:line="240" w:lineRule="auto"/>
        <w:jc w:val="both"/>
        <w:rPr>
          <w:sz w:val="24"/>
          <w:szCs w:val="24"/>
        </w:rPr>
      </w:pPr>
    </w:p>
    <w:p w:rsidR="00C06C99" w:rsidRDefault="00B03125" w:rsidP="00DB1FBE">
      <w:pPr>
        <w:spacing w:after="0" w:line="240" w:lineRule="auto"/>
        <w:jc w:val="both"/>
        <w:rPr>
          <w:sz w:val="24"/>
          <w:szCs w:val="24"/>
        </w:rPr>
      </w:pPr>
      <w:r w:rsidRPr="00BA0187">
        <w:rPr>
          <w:sz w:val="24"/>
          <w:szCs w:val="24"/>
        </w:rPr>
        <w:t>Les cancers des voies aéro-digestives supérieures se situent électivement au niveau de l’oropharynx (33%), larynx (30%), rhinopharynx (17%), nasosinu</w:t>
      </w:r>
      <w:r w:rsidR="004A34FD" w:rsidRPr="00BA0187">
        <w:rPr>
          <w:sz w:val="24"/>
          <w:szCs w:val="24"/>
        </w:rPr>
        <w:t>sien (11%) et hypopharynx (9%)</w:t>
      </w:r>
      <w:bookmarkEnd w:id="2"/>
      <w:r w:rsidR="00B23AFD" w:rsidRPr="00BA0187">
        <w:rPr>
          <w:sz w:val="24"/>
          <w:szCs w:val="24"/>
        </w:rPr>
        <w:t xml:space="preserve">. </w:t>
      </w:r>
      <w:bookmarkStart w:id="3" w:name="_Hlk156681964"/>
      <w:r w:rsidR="00B23AFD" w:rsidRPr="00BA0187">
        <w:rPr>
          <w:sz w:val="24"/>
          <w:szCs w:val="24"/>
        </w:rPr>
        <w:t>La nature histologique était essentiellement représentée par le carcinome épidermoïde</w:t>
      </w:r>
      <w:r w:rsidR="004A34FD" w:rsidRPr="00BA0187">
        <w:rPr>
          <w:sz w:val="24"/>
          <w:szCs w:val="24"/>
        </w:rPr>
        <w:t xml:space="preserve"> et </w:t>
      </w:r>
      <w:r w:rsidR="00B23AFD" w:rsidRPr="00BA0187">
        <w:rPr>
          <w:sz w:val="24"/>
          <w:szCs w:val="24"/>
        </w:rPr>
        <w:t xml:space="preserve">des lésions </w:t>
      </w:r>
      <w:r w:rsidR="00D80644" w:rsidRPr="00BA0187">
        <w:rPr>
          <w:sz w:val="24"/>
          <w:szCs w:val="24"/>
        </w:rPr>
        <w:t>lymphomateuses</w:t>
      </w:r>
      <w:r w:rsidR="00CE6BE2" w:rsidRPr="00BA0187">
        <w:rPr>
          <w:sz w:val="24"/>
          <w:szCs w:val="24"/>
        </w:rPr>
        <w:t xml:space="preserve"> </w:t>
      </w:r>
      <w:r w:rsidR="00D80644" w:rsidRPr="00BA0187">
        <w:rPr>
          <w:sz w:val="24"/>
          <w:szCs w:val="24"/>
        </w:rPr>
        <w:t>avec</w:t>
      </w:r>
      <w:r w:rsidR="00B23AFD" w:rsidRPr="00BA0187">
        <w:rPr>
          <w:sz w:val="24"/>
          <w:szCs w:val="24"/>
        </w:rPr>
        <w:t xml:space="preserve"> une proportion respectivement de 63,20% et 23,20% des cas</w:t>
      </w:r>
      <w:bookmarkEnd w:id="3"/>
      <w:r w:rsidR="004A34FD" w:rsidRPr="00BA0187">
        <w:rPr>
          <w:sz w:val="24"/>
          <w:szCs w:val="24"/>
        </w:rPr>
        <w:t xml:space="preserve"> (</w:t>
      </w:r>
      <w:r w:rsidR="00F71720" w:rsidRPr="00BA0187">
        <w:rPr>
          <w:sz w:val="24"/>
          <w:szCs w:val="24"/>
        </w:rPr>
        <w:t>Tableau</w:t>
      </w:r>
      <w:r w:rsidR="00E607CD" w:rsidRPr="00BA0187">
        <w:rPr>
          <w:sz w:val="24"/>
          <w:szCs w:val="24"/>
        </w:rPr>
        <w:t xml:space="preserve"> III</w:t>
      </w:r>
      <w:r w:rsidR="004A34FD" w:rsidRPr="00BA0187">
        <w:rPr>
          <w:sz w:val="24"/>
          <w:szCs w:val="24"/>
        </w:rPr>
        <w:t>)</w:t>
      </w:r>
      <w:r w:rsidR="00B23AFD" w:rsidRPr="00BA0187">
        <w:rPr>
          <w:sz w:val="24"/>
          <w:szCs w:val="24"/>
        </w:rPr>
        <w:t xml:space="preserve">. </w:t>
      </w:r>
      <w:bookmarkStart w:id="4" w:name="_Hlk156684082"/>
    </w:p>
    <w:p w:rsidR="00C06C99" w:rsidRDefault="00C06C99" w:rsidP="00B45887">
      <w:pPr>
        <w:spacing w:after="0" w:line="240" w:lineRule="auto"/>
        <w:ind w:firstLine="708"/>
        <w:jc w:val="both"/>
        <w:rPr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right" w:tblpY="-7057"/>
        <w:tblW w:w="0" w:type="auto"/>
        <w:tblLook w:val="04A0"/>
      </w:tblPr>
      <w:tblGrid>
        <w:gridCol w:w="2395"/>
        <w:gridCol w:w="1888"/>
      </w:tblGrid>
      <w:tr w:rsidR="00DB1FBE" w:rsidRPr="00CE6BE2" w:rsidTr="00DB1FBE">
        <w:trPr>
          <w:trHeight w:val="287"/>
        </w:trPr>
        <w:tc>
          <w:tcPr>
            <w:tcW w:w="2395" w:type="dxa"/>
          </w:tcPr>
          <w:p w:rsidR="00DB1FBE" w:rsidRPr="00CE6BE2" w:rsidRDefault="00DB1FBE" w:rsidP="00DB1F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Types  </w:t>
            </w:r>
          </w:p>
        </w:tc>
        <w:tc>
          <w:tcPr>
            <w:tcW w:w="1888" w:type="dxa"/>
          </w:tcPr>
          <w:p w:rsidR="00DB1FBE" w:rsidRPr="00CE6BE2" w:rsidRDefault="00DB1FBE" w:rsidP="00DB1F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  <w:t>Pourcentage (%)</w:t>
            </w:r>
          </w:p>
        </w:tc>
      </w:tr>
      <w:tr w:rsidR="00DB1FBE" w:rsidRPr="00CE6BE2" w:rsidTr="00DB1FBE">
        <w:trPr>
          <w:trHeight w:val="287"/>
        </w:trPr>
        <w:tc>
          <w:tcPr>
            <w:tcW w:w="2395" w:type="dxa"/>
          </w:tcPr>
          <w:p w:rsidR="00DB1FBE" w:rsidRPr="00CE6BE2" w:rsidRDefault="00DB1FBE" w:rsidP="00DB1FBE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Carcinomes épidermoïdes</w:t>
            </w:r>
          </w:p>
        </w:tc>
        <w:tc>
          <w:tcPr>
            <w:tcW w:w="1888" w:type="dxa"/>
          </w:tcPr>
          <w:p w:rsidR="00DB1FBE" w:rsidRPr="00CE6BE2" w:rsidRDefault="00DB1FBE" w:rsidP="00DB1F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63,20</w:t>
            </w:r>
          </w:p>
        </w:tc>
      </w:tr>
      <w:tr w:rsidR="00DB1FBE" w:rsidRPr="00CE6BE2" w:rsidTr="00DB1FBE">
        <w:trPr>
          <w:trHeight w:val="287"/>
        </w:trPr>
        <w:tc>
          <w:tcPr>
            <w:tcW w:w="2395" w:type="dxa"/>
          </w:tcPr>
          <w:p w:rsidR="00DB1FBE" w:rsidRPr="00CE6BE2" w:rsidRDefault="00DB1FBE" w:rsidP="00DB1FBE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Lymphomes malins</w:t>
            </w:r>
          </w:p>
        </w:tc>
        <w:tc>
          <w:tcPr>
            <w:tcW w:w="1888" w:type="dxa"/>
          </w:tcPr>
          <w:p w:rsidR="00DB1FBE" w:rsidRPr="00CE6BE2" w:rsidRDefault="00DB1FBE" w:rsidP="00DB1F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23,20</w:t>
            </w:r>
          </w:p>
        </w:tc>
      </w:tr>
      <w:tr w:rsidR="00DB1FBE" w:rsidRPr="00CE6BE2" w:rsidTr="00DB1FBE">
        <w:trPr>
          <w:trHeight w:val="287"/>
        </w:trPr>
        <w:tc>
          <w:tcPr>
            <w:tcW w:w="2395" w:type="dxa"/>
          </w:tcPr>
          <w:p w:rsidR="00DB1FBE" w:rsidRPr="00CE6BE2" w:rsidRDefault="00DB1FBE" w:rsidP="00DB1FBE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Adénocarcinomes</w:t>
            </w:r>
          </w:p>
        </w:tc>
        <w:tc>
          <w:tcPr>
            <w:tcW w:w="1888" w:type="dxa"/>
          </w:tcPr>
          <w:p w:rsidR="00DB1FBE" w:rsidRPr="00CE6BE2" w:rsidRDefault="00DB1FBE" w:rsidP="00DB1F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10,50</w:t>
            </w:r>
          </w:p>
        </w:tc>
      </w:tr>
      <w:tr w:rsidR="00DB1FBE" w:rsidRPr="00CE6BE2" w:rsidTr="00DB1FBE">
        <w:trPr>
          <w:trHeight w:val="287"/>
        </w:trPr>
        <w:tc>
          <w:tcPr>
            <w:tcW w:w="2395" w:type="dxa"/>
          </w:tcPr>
          <w:p w:rsidR="00DB1FBE" w:rsidRPr="00CE6BE2" w:rsidRDefault="00DB1FBE" w:rsidP="00DB1FBE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 xml:space="preserve">Carcinomes indifférenciés </w:t>
            </w:r>
          </w:p>
        </w:tc>
        <w:tc>
          <w:tcPr>
            <w:tcW w:w="1888" w:type="dxa"/>
          </w:tcPr>
          <w:p w:rsidR="00DB1FBE" w:rsidRPr="00CE6BE2" w:rsidRDefault="00DB1FBE" w:rsidP="00DB1F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2,10</w:t>
            </w:r>
          </w:p>
        </w:tc>
      </w:tr>
      <w:tr w:rsidR="00DB1FBE" w:rsidRPr="00CE6BE2" w:rsidTr="00DB1FBE">
        <w:trPr>
          <w:trHeight w:val="306"/>
        </w:trPr>
        <w:tc>
          <w:tcPr>
            <w:tcW w:w="2395" w:type="dxa"/>
          </w:tcPr>
          <w:p w:rsidR="00DB1FBE" w:rsidRPr="00CE6BE2" w:rsidRDefault="00DB1FBE" w:rsidP="00DB1FBE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 xml:space="preserve">Sarcomes </w:t>
            </w:r>
          </w:p>
        </w:tc>
        <w:tc>
          <w:tcPr>
            <w:tcW w:w="1888" w:type="dxa"/>
          </w:tcPr>
          <w:p w:rsidR="00DB1FBE" w:rsidRPr="00CE6BE2" w:rsidRDefault="00DB1FBE" w:rsidP="00DB1F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1,10</w:t>
            </w:r>
          </w:p>
        </w:tc>
      </w:tr>
    </w:tbl>
    <w:p w:rsidR="00C06C99" w:rsidRDefault="00B23AFD" w:rsidP="00B45887">
      <w:pPr>
        <w:spacing w:after="0" w:line="240" w:lineRule="auto"/>
        <w:ind w:firstLine="708"/>
        <w:jc w:val="both"/>
        <w:rPr>
          <w:sz w:val="24"/>
          <w:szCs w:val="24"/>
        </w:rPr>
      </w:pPr>
      <w:r w:rsidRPr="00BA0187">
        <w:rPr>
          <w:sz w:val="24"/>
          <w:szCs w:val="24"/>
        </w:rPr>
        <w:t>La découverte des cancers des voies aéro-digesti</w:t>
      </w:r>
      <w:r w:rsidR="00A4227E" w:rsidRPr="00BA0187">
        <w:rPr>
          <w:sz w:val="24"/>
          <w:szCs w:val="24"/>
        </w:rPr>
        <w:t>ves</w:t>
      </w:r>
      <w:r w:rsidRPr="00BA0187">
        <w:rPr>
          <w:sz w:val="24"/>
          <w:szCs w:val="24"/>
        </w:rPr>
        <w:t xml:space="preserve"> supérieur</w:t>
      </w:r>
      <w:r w:rsidR="00A4227E" w:rsidRPr="00BA0187">
        <w:rPr>
          <w:sz w:val="24"/>
          <w:szCs w:val="24"/>
        </w:rPr>
        <w:t>e</w:t>
      </w:r>
      <w:r w:rsidRPr="00BA0187">
        <w:rPr>
          <w:sz w:val="24"/>
          <w:szCs w:val="24"/>
        </w:rPr>
        <w:t>s était souvent tardive de l’ordre de 43,10 % au stade III</w:t>
      </w:r>
      <w:r w:rsidR="00D80644" w:rsidRPr="00BA0187">
        <w:rPr>
          <w:sz w:val="24"/>
          <w:szCs w:val="24"/>
        </w:rPr>
        <w:t xml:space="preserve"> (cancers avec atteinte ganglionnaire cervicale mais sans métastase à distance)</w:t>
      </w:r>
      <w:r w:rsidR="00E01AD2" w:rsidRPr="00BA0187">
        <w:rPr>
          <w:sz w:val="24"/>
          <w:szCs w:val="24"/>
        </w:rPr>
        <w:t xml:space="preserve"> (figure </w:t>
      </w:r>
      <w:r w:rsidR="00C5727F" w:rsidRPr="00BA0187">
        <w:rPr>
          <w:sz w:val="24"/>
          <w:szCs w:val="24"/>
        </w:rPr>
        <w:t>2</w:t>
      </w:r>
      <w:r w:rsidR="00E01AD2" w:rsidRPr="00BA0187">
        <w:rPr>
          <w:sz w:val="24"/>
          <w:szCs w:val="24"/>
        </w:rPr>
        <w:t>)</w:t>
      </w:r>
      <w:r w:rsidRPr="00BA0187">
        <w:rPr>
          <w:sz w:val="24"/>
          <w:szCs w:val="24"/>
        </w:rPr>
        <w:t xml:space="preserve">. </w:t>
      </w:r>
      <w:bookmarkStart w:id="5" w:name="_Hlk156687546"/>
      <w:bookmarkEnd w:id="4"/>
    </w:p>
    <w:p w:rsidR="00C06C99" w:rsidRDefault="00C06C99" w:rsidP="00DB1FBE">
      <w:pPr>
        <w:spacing w:after="0" w:line="240" w:lineRule="auto"/>
        <w:jc w:val="both"/>
        <w:rPr>
          <w:sz w:val="24"/>
          <w:szCs w:val="24"/>
        </w:rPr>
      </w:pPr>
      <w:r w:rsidRPr="00BA0187">
        <w:rPr>
          <w:sz w:val="24"/>
          <w:szCs w:val="24"/>
        </w:rPr>
        <w:t>Après la confirmation anatomo-pathologique des cancers des voies aéro-</w:t>
      </w:r>
      <w:r w:rsidRPr="00BA0187">
        <w:rPr>
          <w:sz w:val="24"/>
          <w:szCs w:val="24"/>
        </w:rPr>
        <w:lastRenderedPageBreak/>
        <w:t>digestives supérieures, l</w:t>
      </w:r>
      <w:r w:rsidRPr="00BA0187">
        <w:rPr>
          <w:rFonts w:ascii="Times New Roman" w:hAnsi="Times New Roman" w:cs="Times New Roman"/>
          <w:sz w:val="24"/>
          <w:szCs w:val="24"/>
        </w:rPr>
        <w:t xml:space="preserve">a chimiothérapie seule était le moyen thérapeutique le plus utilisé (28,50 %), suivie des traitements palliatifs non spécifiques, dans 27,40 % des </w:t>
      </w:r>
      <w:bookmarkStart w:id="6" w:name="_GoBack"/>
      <w:bookmarkEnd w:id="6"/>
      <w:r w:rsidRPr="00BA0187">
        <w:rPr>
          <w:rFonts w:ascii="Times New Roman" w:hAnsi="Times New Roman" w:cs="Times New Roman"/>
          <w:sz w:val="24"/>
          <w:szCs w:val="24"/>
        </w:rPr>
        <w:t>cas.</w:t>
      </w:r>
    </w:p>
    <w:p w:rsidR="00DB1FBE" w:rsidRPr="00DB1FBE" w:rsidRDefault="00DB1FBE" w:rsidP="00DB1FBE">
      <w:pPr>
        <w:spacing w:line="240" w:lineRule="auto"/>
        <w:rPr>
          <w:rFonts w:ascii="Times New Roman" w:hAnsi="Times New Roman" w:cs="Times New Roman"/>
          <w:sz w:val="20"/>
          <w:szCs w:val="20"/>
          <w:lang w:eastAsia="fr-FR"/>
        </w:rPr>
      </w:pPr>
      <w:r w:rsidRPr="00DB1FBE">
        <w:rPr>
          <w:rFonts w:ascii="Times New Roman" w:hAnsi="Times New Roman" w:cs="Times New Roman"/>
          <w:sz w:val="20"/>
          <w:szCs w:val="20"/>
          <w:u w:val="single"/>
          <w:lang w:eastAsia="fr-FR"/>
        </w:rPr>
        <w:t>Tableau III</w:t>
      </w:r>
      <w:r w:rsidRPr="00DB1FBE">
        <w:rPr>
          <w:rFonts w:ascii="Times New Roman" w:hAnsi="Times New Roman" w:cs="Times New Roman"/>
          <w:sz w:val="20"/>
          <w:szCs w:val="20"/>
          <w:lang w:eastAsia="fr-FR"/>
        </w:rPr>
        <w:t> : Types histologiques   </w:t>
      </w:r>
    </w:p>
    <w:p w:rsidR="00C06C99" w:rsidRDefault="00C06C99" w:rsidP="00B4588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C06C99" w:rsidRPr="00C06C99" w:rsidRDefault="00C06C99" w:rsidP="00C06C99">
      <w:pPr>
        <w:spacing w:line="240" w:lineRule="auto"/>
        <w:rPr>
          <w:rFonts w:ascii="Times New Roman" w:hAnsi="Times New Roman" w:cs="Times New Roman"/>
          <w:sz w:val="20"/>
          <w:szCs w:val="20"/>
          <w:lang w:eastAsia="fr-FR"/>
        </w:rPr>
      </w:pPr>
      <w:r w:rsidRPr="00DB1FBE">
        <w:rPr>
          <w:rFonts w:ascii="Times New Roman" w:hAnsi="Times New Roman" w:cs="Times New Roman"/>
          <w:sz w:val="20"/>
          <w:szCs w:val="20"/>
          <w:u w:val="single"/>
          <w:lang w:eastAsia="fr-FR"/>
        </w:rPr>
        <w:t>Figure 2</w:t>
      </w:r>
      <w:r w:rsidRPr="00C06C99">
        <w:rPr>
          <w:rFonts w:ascii="Times New Roman" w:hAnsi="Times New Roman" w:cs="Times New Roman"/>
          <w:sz w:val="20"/>
          <w:szCs w:val="20"/>
          <w:lang w:eastAsia="fr-FR"/>
        </w:rPr>
        <w:t> : Stade tumoral</w:t>
      </w:r>
    </w:p>
    <w:p w:rsidR="00C06C99" w:rsidRDefault="00C06C99" w:rsidP="00C06C99">
      <w:pPr>
        <w:spacing w:after="0" w:line="240" w:lineRule="auto"/>
        <w:ind w:firstLine="708"/>
        <w:jc w:val="both"/>
        <w:rPr>
          <w:sz w:val="24"/>
          <w:szCs w:val="24"/>
        </w:rPr>
      </w:pPr>
      <w:r w:rsidRPr="00C06C99">
        <w:rPr>
          <w:sz w:val="24"/>
          <w:szCs w:val="24"/>
        </w:rPr>
        <w:drawing>
          <wp:inline distT="0" distB="0" distL="0" distR="0">
            <wp:extent cx="2655570" cy="1247583"/>
            <wp:effectExtent l="0" t="0" r="0" b="0"/>
            <wp:docPr id="5" name="Graphique 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88D075D2-D10A-4DA5-228F-24CDE4B22A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4777" w:rsidRPr="00BA0187" w:rsidRDefault="00215E64" w:rsidP="00B458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A0187">
        <w:rPr>
          <w:rFonts w:ascii="Times New Roman" w:hAnsi="Times New Roman" w:cs="Times New Roman"/>
          <w:sz w:val="24"/>
          <w:szCs w:val="24"/>
        </w:rPr>
        <w:t>La radiothérapie était reco</w:t>
      </w:r>
      <w:r w:rsidR="00C06C99">
        <w:rPr>
          <w:rFonts w:ascii="Times New Roman" w:hAnsi="Times New Roman" w:cs="Times New Roman"/>
          <w:sz w:val="24"/>
          <w:szCs w:val="24"/>
        </w:rPr>
        <w:t xml:space="preserve">mmandée mais rarement effectuée </w:t>
      </w:r>
      <w:r w:rsidR="003B49BB" w:rsidRPr="00BA0187">
        <w:rPr>
          <w:rFonts w:ascii="Times New Roman" w:hAnsi="Times New Roman" w:cs="Times New Roman"/>
          <w:sz w:val="24"/>
          <w:szCs w:val="24"/>
        </w:rPr>
        <w:t xml:space="preserve">(tableau </w:t>
      </w:r>
      <w:r w:rsidR="002E09DF" w:rsidRPr="00BA0187">
        <w:rPr>
          <w:rFonts w:ascii="Times New Roman" w:hAnsi="Times New Roman" w:cs="Times New Roman"/>
          <w:sz w:val="24"/>
          <w:szCs w:val="24"/>
        </w:rPr>
        <w:t>IV</w:t>
      </w:r>
      <w:r w:rsidR="003B49BB" w:rsidRPr="00BA0187">
        <w:rPr>
          <w:rFonts w:ascii="Times New Roman" w:hAnsi="Times New Roman" w:cs="Times New Roman"/>
          <w:sz w:val="24"/>
          <w:szCs w:val="24"/>
        </w:rPr>
        <w:t>)</w:t>
      </w:r>
      <w:bookmarkEnd w:id="5"/>
      <w:r w:rsidR="00B23AFD" w:rsidRPr="00BA0187">
        <w:rPr>
          <w:rFonts w:ascii="Times New Roman" w:hAnsi="Times New Roman" w:cs="Times New Roman"/>
          <w:sz w:val="24"/>
          <w:szCs w:val="24"/>
        </w:rPr>
        <w:t>.</w:t>
      </w:r>
    </w:p>
    <w:p w:rsidR="00DB1FBE" w:rsidRDefault="00DB1FBE" w:rsidP="00DB1FBE">
      <w:pPr>
        <w:spacing w:line="240" w:lineRule="auto"/>
        <w:rPr>
          <w:rFonts w:ascii="Times New Roman" w:hAnsi="Times New Roman" w:cs="Times New Roman"/>
          <w:sz w:val="20"/>
          <w:szCs w:val="20"/>
          <w:lang w:eastAsia="fr-FR"/>
        </w:rPr>
      </w:pPr>
    </w:p>
    <w:p w:rsidR="00DB1FBE" w:rsidRPr="00CE6BE2" w:rsidRDefault="00DB1FBE" w:rsidP="00DB1FBE">
      <w:pPr>
        <w:spacing w:line="240" w:lineRule="auto"/>
        <w:rPr>
          <w:rFonts w:ascii="Times New Roman" w:hAnsi="Times New Roman" w:cs="Times New Roman"/>
          <w:sz w:val="20"/>
          <w:szCs w:val="20"/>
          <w:lang w:eastAsia="fr-FR"/>
        </w:rPr>
      </w:pPr>
      <w:r w:rsidRPr="00DB1FBE">
        <w:rPr>
          <w:rFonts w:ascii="Times New Roman" w:hAnsi="Times New Roman" w:cs="Times New Roman"/>
          <w:sz w:val="20"/>
          <w:szCs w:val="20"/>
          <w:u w:val="single"/>
          <w:lang w:eastAsia="fr-FR"/>
        </w:rPr>
        <w:t>Tableau IV</w:t>
      </w:r>
      <w:r w:rsidRPr="00CE6BE2">
        <w:rPr>
          <w:rFonts w:ascii="Times New Roman" w:hAnsi="Times New Roman" w:cs="Times New Roman"/>
          <w:sz w:val="20"/>
          <w:szCs w:val="20"/>
          <w:lang w:eastAsia="fr-FR"/>
        </w:rPr>
        <w:t> : Traitements</w:t>
      </w:r>
    </w:p>
    <w:tbl>
      <w:tblPr>
        <w:tblStyle w:val="Grilledutableau"/>
        <w:tblW w:w="0" w:type="auto"/>
        <w:tblLook w:val="04A0"/>
      </w:tblPr>
      <w:tblGrid>
        <w:gridCol w:w="2584"/>
        <w:gridCol w:w="1777"/>
      </w:tblGrid>
      <w:tr w:rsidR="00DB1FBE" w:rsidRPr="00CE6BE2" w:rsidTr="00BB00CB">
        <w:tc>
          <w:tcPr>
            <w:tcW w:w="2584" w:type="dxa"/>
          </w:tcPr>
          <w:p w:rsidR="00DB1FBE" w:rsidRPr="00CE6BE2" w:rsidRDefault="00DB1FBE" w:rsidP="00BB0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Traitements </w:t>
            </w:r>
          </w:p>
        </w:tc>
        <w:tc>
          <w:tcPr>
            <w:tcW w:w="1777" w:type="dxa"/>
          </w:tcPr>
          <w:p w:rsidR="00DB1FBE" w:rsidRPr="00CE6BE2" w:rsidRDefault="00DB1FBE" w:rsidP="00BB00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fr-FR"/>
              </w:rPr>
              <w:t>Pourcentage (%)</w:t>
            </w:r>
          </w:p>
        </w:tc>
      </w:tr>
      <w:tr w:rsidR="00DB1FBE" w:rsidRPr="00CE6BE2" w:rsidTr="00BB00CB">
        <w:tc>
          <w:tcPr>
            <w:tcW w:w="2584" w:type="dxa"/>
          </w:tcPr>
          <w:p w:rsidR="00DB1FBE" w:rsidRPr="00CE6BE2" w:rsidRDefault="00DB1FBE" w:rsidP="00BB00CB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Chimiothérapie seule</w:t>
            </w:r>
          </w:p>
        </w:tc>
        <w:tc>
          <w:tcPr>
            <w:tcW w:w="1777" w:type="dxa"/>
          </w:tcPr>
          <w:p w:rsidR="00DB1FBE" w:rsidRPr="00CE6BE2" w:rsidRDefault="00DB1FBE" w:rsidP="00BB0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28,5</w:t>
            </w:r>
          </w:p>
        </w:tc>
      </w:tr>
      <w:tr w:rsidR="00DB1FBE" w:rsidRPr="00CE6BE2" w:rsidTr="00BB00CB">
        <w:tc>
          <w:tcPr>
            <w:tcW w:w="2584" w:type="dxa"/>
          </w:tcPr>
          <w:p w:rsidR="00DB1FBE" w:rsidRPr="00CE6BE2" w:rsidRDefault="00DB1FBE" w:rsidP="00BB00CB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 xml:space="preserve">Chirurgie exclusive </w:t>
            </w:r>
          </w:p>
        </w:tc>
        <w:tc>
          <w:tcPr>
            <w:tcW w:w="1777" w:type="dxa"/>
          </w:tcPr>
          <w:p w:rsidR="00DB1FBE" w:rsidRPr="00CE6BE2" w:rsidRDefault="00DB1FBE" w:rsidP="00BB0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16,8</w:t>
            </w:r>
          </w:p>
        </w:tc>
      </w:tr>
      <w:tr w:rsidR="00DB1FBE" w:rsidRPr="00CE6BE2" w:rsidTr="00BB00CB">
        <w:tc>
          <w:tcPr>
            <w:tcW w:w="2584" w:type="dxa"/>
          </w:tcPr>
          <w:p w:rsidR="00DB1FBE" w:rsidRPr="00CE6BE2" w:rsidRDefault="00DB1FBE" w:rsidP="00BB00CB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 xml:space="preserve">Chirurgie d’exérèse +chimiothérapie </w:t>
            </w:r>
          </w:p>
        </w:tc>
        <w:tc>
          <w:tcPr>
            <w:tcW w:w="1777" w:type="dxa"/>
          </w:tcPr>
          <w:p w:rsidR="00DB1FBE" w:rsidRPr="00CE6BE2" w:rsidRDefault="00DB1FBE" w:rsidP="00BB0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8,4</w:t>
            </w:r>
          </w:p>
        </w:tc>
      </w:tr>
      <w:tr w:rsidR="00DB1FBE" w:rsidRPr="00CE6BE2" w:rsidTr="00BB00CB">
        <w:tc>
          <w:tcPr>
            <w:tcW w:w="2584" w:type="dxa"/>
          </w:tcPr>
          <w:p w:rsidR="00DB1FBE" w:rsidRPr="00CE6BE2" w:rsidRDefault="00DB1FBE" w:rsidP="00BB00CB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Chirurgie d’exérèse + radiothérapie</w:t>
            </w:r>
          </w:p>
        </w:tc>
        <w:tc>
          <w:tcPr>
            <w:tcW w:w="1777" w:type="dxa"/>
          </w:tcPr>
          <w:p w:rsidR="00DB1FBE" w:rsidRPr="00CE6BE2" w:rsidRDefault="00DB1FBE" w:rsidP="00BB0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1,0</w:t>
            </w:r>
          </w:p>
        </w:tc>
      </w:tr>
      <w:tr w:rsidR="00DB1FBE" w:rsidRPr="00CE6BE2" w:rsidTr="00BB00CB">
        <w:tc>
          <w:tcPr>
            <w:tcW w:w="2584" w:type="dxa"/>
          </w:tcPr>
          <w:p w:rsidR="00DB1FBE" w:rsidRPr="00CE6BE2" w:rsidRDefault="00DB1FBE" w:rsidP="00BB00CB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Chirurgie d’exérèse + radiotherapie+chimiothérapie</w:t>
            </w:r>
          </w:p>
        </w:tc>
        <w:tc>
          <w:tcPr>
            <w:tcW w:w="1777" w:type="dxa"/>
          </w:tcPr>
          <w:p w:rsidR="00DB1FBE" w:rsidRPr="00CE6BE2" w:rsidRDefault="00DB1FBE" w:rsidP="00BB0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8,4</w:t>
            </w:r>
          </w:p>
        </w:tc>
      </w:tr>
      <w:tr w:rsidR="00DB1FBE" w:rsidRPr="00CE6BE2" w:rsidTr="00BB00CB">
        <w:tc>
          <w:tcPr>
            <w:tcW w:w="2584" w:type="dxa"/>
          </w:tcPr>
          <w:p w:rsidR="00DB1FBE" w:rsidRPr="00CE6BE2" w:rsidRDefault="00DB1FBE" w:rsidP="00BB00CB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Radiothérapie +chimiothérapie</w:t>
            </w:r>
          </w:p>
        </w:tc>
        <w:tc>
          <w:tcPr>
            <w:tcW w:w="1777" w:type="dxa"/>
          </w:tcPr>
          <w:p w:rsidR="00DB1FBE" w:rsidRPr="00CE6BE2" w:rsidRDefault="00DB1FBE" w:rsidP="00BB0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9,5</w:t>
            </w:r>
          </w:p>
        </w:tc>
      </w:tr>
      <w:tr w:rsidR="00DB1FBE" w:rsidRPr="00CE6BE2" w:rsidTr="00BB00CB">
        <w:tc>
          <w:tcPr>
            <w:tcW w:w="2584" w:type="dxa"/>
          </w:tcPr>
          <w:p w:rsidR="00DB1FBE" w:rsidRPr="00CE6BE2" w:rsidRDefault="00DB1FBE" w:rsidP="00BB00CB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 xml:space="preserve">Traitements non spécifiques </w:t>
            </w:r>
          </w:p>
        </w:tc>
        <w:tc>
          <w:tcPr>
            <w:tcW w:w="1777" w:type="dxa"/>
          </w:tcPr>
          <w:p w:rsidR="00DB1FBE" w:rsidRPr="00CE6BE2" w:rsidRDefault="00DB1FBE" w:rsidP="00BB0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CE6BE2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27,4</w:t>
            </w:r>
          </w:p>
        </w:tc>
      </w:tr>
    </w:tbl>
    <w:p w:rsidR="00B45887" w:rsidRDefault="00B45887" w:rsidP="00B4588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1FBE" w:rsidRPr="00BA0187" w:rsidRDefault="00DB1FBE" w:rsidP="00B45887">
      <w:pPr>
        <w:pStyle w:val="NormalWeb"/>
        <w:spacing w:before="0" w:beforeAutospacing="0" w:after="0" w:afterAutospacing="0"/>
        <w:jc w:val="center"/>
        <w:rPr>
          <w:b/>
          <w:bCs/>
        </w:rPr>
        <w:sectPr w:rsidR="00DB1FBE" w:rsidRPr="00BA0187" w:rsidSect="00B4588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45887" w:rsidRPr="00BA0187" w:rsidRDefault="00B45887" w:rsidP="00B4588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01A83" w:rsidRPr="00B45887" w:rsidRDefault="00B45887" w:rsidP="00B45887">
      <w:pPr>
        <w:pStyle w:val="NormalWeb"/>
        <w:spacing w:before="0" w:beforeAutospacing="0" w:after="0" w:afterAutospacing="0"/>
        <w:rPr>
          <w:b/>
          <w:bCs/>
          <w:color w:val="0000FF"/>
        </w:rPr>
      </w:pPr>
      <w:r>
        <w:rPr>
          <w:b/>
          <w:bCs/>
          <w:noProof/>
          <w:color w:val="0000FF"/>
        </w:rPr>
        <w:pict>
          <v:shape id="_x0000_s1030" type="#_x0000_t32" style="position:absolute;margin-left:60.4pt;margin-top:11pt;width:389.25pt;height:0;z-index:251662336" o:connectortype="straight" strokecolor="blue" strokeweight="1.5pt"/>
        </w:pict>
      </w:r>
      <w:r w:rsidRPr="00B45887">
        <w:rPr>
          <w:b/>
          <w:bCs/>
          <w:color w:val="0000FF"/>
        </w:rPr>
        <w:t>Discussion</w:t>
      </w:r>
    </w:p>
    <w:p w:rsidR="00B45887" w:rsidRDefault="00B45887" w:rsidP="00B45887">
      <w:pPr>
        <w:pStyle w:val="NormalWeb"/>
        <w:spacing w:before="0" w:beforeAutospacing="0" w:after="0" w:afterAutospacing="0"/>
        <w:ind w:firstLine="708"/>
        <w:jc w:val="both"/>
        <w:sectPr w:rsidR="00B45887" w:rsidSect="00B458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852AF" w:rsidRDefault="00EC297D" w:rsidP="00B45887">
      <w:pPr>
        <w:pStyle w:val="NormalWeb"/>
        <w:spacing w:before="0" w:beforeAutospacing="0" w:after="0" w:afterAutospacing="0"/>
        <w:ind w:firstLine="708"/>
        <w:jc w:val="both"/>
      </w:pPr>
      <w:r>
        <w:lastRenderedPageBreak/>
        <w:t xml:space="preserve">Une prédominance du genre masculin était </w:t>
      </w:r>
      <w:r w:rsidR="00F64C17">
        <w:t>constatée</w:t>
      </w:r>
      <w:r>
        <w:t xml:space="preserve"> durant notre travail, avec un sexe ratio de 1,79. Une </w:t>
      </w:r>
      <w:r w:rsidR="00F64C17">
        <w:t xml:space="preserve">étude menée par l’équipe de </w:t>
      </w:r>
      <w:r w:rsidR="00F64C17" w:rsidRPr="00F64C17">
        <w:t>Randriamanovontsoa</w:t>
      </w:r>
      <w:r w:rsidR="00F64C17">
        <w:t xml:space="preserve"> avait </w:t>
      </w:r>
      <w:r w:rsidR="009170F8">
        <w:t>remarqué</w:t>
      </w:r>
      <w:r w:rsidR="00F64C17">
        <w:t xml:space="preserve"> également une prédominance du genre masculin avec un sexe ratio </w:t>
      </w:r>
      <w:r w:rsidR="00CD5B42">
        <w:t>de 1,48</w:t>
      </w:r>
      <w:r w:rsidR="007B3905">
        <w:t xml:space="preserve"> (</w:t>
      </w:r>
      <w:r w:rsidR="00B60431">
        <w:t>4</w:t>
      </w:r>
      <w:r w:rsidR="007B3905">
        <w:t>)</w:t>
      </w:r>
      <w:r w:rsidR="009170F8">
        <w:t xml:space="preserve">. </w:t>
      </w:r>
      <w:r w:rsidR="003356C4">
        <w:lastRenderedPageBreak/>
        <w:t>Également</w:t>
      </w:r>
      <w:r w:rsidR="009170F8">
        <w:t xml:space="preserve"> un sexe ratio de 1,45 était retrouvé sur </w:t>
      </w:r>
      <w:r w:rsidR="007B3905">
        <w:t>étude</w:t>
      </w:r>
      <w:r w:rsidR="009170F8">
        <w:t xml:space="preserve"> togolaise en 2016</w:t>
      </w:r>
      <w:r w:rsidR="007B3905">
        <w:t xml:space="preserve"> (</w:t>
      </w:r>
      <w:r w:rsidR="00B60431">
        <w:t>5</w:t>
      </w:r>
      <w:r w:rsidR="007B3905">
        <w:t xml:space="preserve">). </w:t>
      </w:r>
      <w:r w:rsidR="0018603E" w:rsidRPr="0018603E">
        <w:t>Cette prédomine est justifié</w:t>
      </w:r>
      <w:r w:rsidR="0018603E">
        <w:t xml:space="preserve"> par</w:t>
      </w:r>
      <w:r w:rsidR="005E4656">
        <w:t xml:space="preserve"> l’exposition prépondérante</w:t>
      </w:r>
      <w:r w:rsidR="0018603E" w:rsidRPr="0018603E">
        <w:t xml:space="preserve"> du genre masculin aux différents facteurs de risques de cancers des </w:t>
      </w:r>
      <w:r w:rsidR="0018603E">
        <w:t>voies aérodigestives supérieures.</w:t>
      </w:r>
    </w:p>
    <w:p w:rsidR="00F852AF" w:rsidRDefault="00FA6A79" w:rsidP="00B45887">
      <w:pPr>
        <w:pStyle w:val="NormalWeb"/>
        <w:spacing w:before="0" w:beforeAutospacing="0" w:after="0" w:afterAutospacing="0"/>
        <w:ind w:firstLine="708"/>
        <w:jc w:val="both"/>
      </w:pPr>
      <w:r>
        <w:lastRenderedPageBreak/>
        <w:t>La tranche d’âge la plus affectée par cette maladie se situait entre 51 à 60 ans dans notre recherche</w:t>
      </w:r>
      <w:r w:rsidR="008A6FB0">
        <w:t xml:space="preserve"> (</w:t>
      </w:r>
      <w:r w:rsidR="00B60431">
        <w:t>6</w:t>
      </w:r>
      <w:r w:rsidR="008A6FB0">
        <w:t>)</w:t>
      </w:r>
      <w:r>
        <w:t xml:space="preserve">. </w:t>
      </w:r>
      <w:r w:rsidR="003158DC">
        <w:t>Une étude malienne avait constaté une tranche d’âge comparable à la nôtre. Comme tou</w:t>
      </w:r>
      <w:r w:rsidR="00C97059">
        <w:t>s les cancers</w:t>
      </w:r>
      <w:r w:rsidR="00627DC1">
        <w:t>,</w:t>
      </w:r>
      <w:r w:rsidR="00C97059">
        <w:t xml:space="preserve"> il s’agit d’un processus lent, indolore dans la plupart du temps donc moins </w:t>
      </w:r>
      <w:r w:rsidR="00772368">
        <w:t>inquiétant</w:t>
      </w:r>
      <w:r w:rsidR="00C97059">
        <w:t xml:space="preserve"> pour les patients. Par ailleurs,</w:t>
      </w:r>
      <w:r w:rsidR="00CE6BE2">
        <w:t xml:space="preserve"> </w:t>
      </w:r>
      <w:r w:rsidR="008E117C">
        <w:t>l’exposition à des différents facteurs de risques de ce cancer est rencontré surtout chez les adultes.</w:t>
      </w:r>
    </w:p>
    <w:p w:rsidR="003D7AE0" w:rsidRDefault="00F852AF" w:rsidP="00B45887">
      <w:pPr>
        <w:pStyle w:val="NormalWeb"/>
        <w:spacing w:before="0" w:beforeAutospacing="0" w:after="0" w:afterAutospacing="0"/>
        <w:ind w:firstLine="708"/>
        <w:jc w:val="both"/>
      </w:pPr>
      <w:r w:rsidRPr="00F852AF">
        <w:t>L</w:t>
      </w:r>
      <w:r>
        <w:t xml:space="preserve">a </w:t>
      </w:r>
      <w:r w:rsidR="00BF2DA4">
        <w:t>dysphagie</w:t>
      </w:r>
      <w:r>
        <w:t xml:space="preserve"> et </w:t>
      </w:r>
      <w:r w:rsidR="00BF2DA4">
        <w:t>l’altération</w:t>
      </w:r>
      <w:r>
        <w:t xml:space="preserve"> de l’</w:t>
      </w:r>
      <w:r w:rsidR="00BF2DA4">
        <w:t>état</w:t>
      </w:r>
      <w:r w:rsidR="00CE6BE2">
        <w:t xml:space="preserve"> </w:t>
      </w:r>
      <w:r w:rsidR="00BF2DA4">
        <w:t>général</w:t>
      </w:r>
      <w:r>
        <w:t xml:space="preserve"> ont été les signes</w:t>
      </w:r>
      <w:r w:rsidR="00E040C8">
        <w:t xml:space="preserve"> d’appels</w:t>
      </w:r>
      <w:r w:rsidR="005E4656">
        <w:t xml:space="preserve"> les plus répertoriés</w:t>
      </w:r>
      <w:r w:rsidR="00CE6BE2">
        <w:t xml:space="preserve"> </w:t>
      </w:r>
      <w:r w:rsidR="00E040C8">
        <w:t>en faveur des cancers des</w:t>
      </w:r>
      <w:r w:rsidR="005E4656">
        <w:t xml:space="preserve"> voies aéro-digestive</w:t>
      </w:r>
      <w:r w:rsidR="00E040C8">
        <w:t>s supérieur</w:t>
      </w:r>
      <w:r w:rsidR="005E4656">
        <w:t>e</w:t>
      </w:r>
      <w:r w:rsidR="00E040C8">
        <w:t>s.</w:t>
      </w:r>
      <w:r w:rsidR="00CE6BE2">
        <w:t xml:space="preserve"> </w:t>
      </w:r>
      <w:r w:rsidR="003D7DFC">
        <w:t xml:space="preserve">Selon la littérature, ces signes font partie de manifestation majeure en faveur de </w:t>
      </w:r>
      <w:r w:rsidR="00060FD9">
        <w:t>cette maladie</w:t>
      </w:r>
      <w:r w:rsidR="003D7DFC">
        <w:t xml:space="preserve"> avec une proportion respectivement de 20,5% pour l’altération de l’état général et 15,7% pour la dysphagie (</w:t>
      </w:r>
      <w:r w:rsidR="00B60431">
        <w:t>6</w:t>
      </w:r>
      <w:r w:rsidR="003D7DFC">
        <w:t xml:space="preserve">). A noter que les cancers des voies </w:t>
      </w:r>
      <w:r w:rsidR="005E4656">
        <w:t>aéro-digestive</w:t>
      </w:r>
      <w:r w:rsidR="000A3F00">
        <w:t>s</w:t>
      </w:r>
      <w:r w:rsidR="00CE6BE2">
        <w:t xml:space="preserve"> </w:t>
      </w:r>
      <w:r w:rsidR="000A3F00">
        <w:t>supérieur</w:t>
      </w:r>
      <w:r w:rsidR="005E4656">
        <w:t>e</w:t>
      </w:r>
      <w:r w:rsidR="000A3F00">
        <w:t>s</w:t>
      </w:r>
      <w:r w:rsidR="00CE6BE2">
        <w:t xml:space="preserve"> </w:t>
      </w:r>
      <w:r w:rsidR="000A3F00">
        <w:t xml:space="preserve">vont incommoder les mécanismes de mastication </w:t>
      </w:r>
      <w:r w:rsidR="003D7DFC" w:rsidRPr="003D7DFC">
        <w:t>et/ou la déglutitio</w:t>
      </w:r>
      <w:r w:rsidR="005E4656">
        <w:t>n donc le patient sera malnutri</w:t>
      </w:r>
      <w:r w:rsidR="003D7DFC" w:rsidRPr="003D7DFC">
        <w:t xml:space="preserve">, moins </w:t>
      </w:r>
      <w:r w:rsidR="000A3F00" w:rsidRPr="003D7DFC">
        <w:t>d’énergie</w:t>
      </w:r>
      <w:r w:rsidR="003D7DFC" w:rsidRPr="003D7DFC">
        <w:t xml:space="preserve"> et l’</w:t>
      </w:r>
      <w:r w:rsidR="000A3F00" w:rsidRPr="003D7DFC">
        <w:t>état</w:t>
      </w:r>
      <w:r w:rsidR="00C06C99">
        <w:t xml:space="preserve"> </w:t>
      </w:r>
      <w:r w:rsidR="000A3F00" w:rsidRPr="003D7DFC">
        <w:t>général</w:t>
      </w:r>
      <w:r w:rsidR="003D7DFC" w:rsidRPr="003D7DFC">
        <w:t xml:space="preserve"> se </w:t>
      </w:r>
      <w:r w:rsidR="000A3F00" w:rsidRPr="003D7DFC">
        <w:t>dégrade</w:t>
      </w:r>
      <w:r w:rsidR="000A3F00">
        <w:t xml:space="preserve">. </w:t>
      </w:r>
    </w:p>
    <w:p w:rsidR="00C65BBA" w:rsidRDefault="0025280C" w:rsidP="00B45887">
      <w:pPr>
        <w:pStyle w:val="NormalWeb"/>
        <w:spacing w:before="0" w:beforeAutospacing="0" w:after="0" w:afterAutospacing="0"/>
        <w:ind w:firstLine="708"/>
        <w:jc w:val="both"/>
      </w:pPr>
      <w:r>
        <w:t>Au cours d</w:t>
      </w:r>
      <w:r w:rsidR="00177A8C">
        <w:t>’un</w:t>
      </w:r>
      <w:r w:rsidR="005E4656">
        <w:t xml:space="preserve"> cancer des voies aéro-digestive</w:t>
      </w:r>
      <w:r>
        <w:t>s supérieur</w:t>
      </w:r>
      <w:r w:rsidR="005E4656">
        <w:t>e</w:t>
      </w:r>
      <w:r>
        <w:t>s, l’alcool et le tabac ont été les antécédents toxiques les plus recensés</w:t>
      </w:r>
      <w:r w:rsidR="00B93167">
        <w:t xml:space="preserve"> dans notre travail.</w:t>
      </w:r>
      <w:r w:rsidR="00EB40DC">
        <w:t xml:space="preserve"> Dans une étude effectuée par l’équipe de Randriamanovontsoa</w:t>
      </w:r>
      <w:r w:rsidR="00177A8C">
        <w:t>a également rapportée</w:t>
      </w:r>
      <w:r w:rsidR="00BB4193">
        <w:t xml:space="preserve"> un résultat comparable à la nôtre.</w:t>
      </w:r>
      <w:r w:rsidR="00CE6BE2">
        <w:t xml:space="preserve"> </w:t>
      </w:r>
      <w:r w:rsidR="00F81F9D" w:rsidRPr="00F81F9D">
        <w:t xml:space="preserve">Ce qui fait que le goudron dans le tabac et l’éthanol dans l’alcool participent </w:t>
      </w:r>
      <w:r w:rsidR="009E6219" w:rsidRPr="00F81F9D">
        <w:t>aux dégénérescences cellulaires</w:t>
      </w:r>
      <w:r w:rsidR="005E4656">
        <w:t xml:space="preserve"> et puis</w:t>
      </w:r>
      <w:r w:rsidR="00F81F9D" w:rsidRPr="00F81F9D">
        <w:t xml:space="preserve"> la formation </w:t>
      </w:r>
      <w:r w:rsidR="005E4656">
        <w:t xml:space="preserve">de la cellule </w:t>
      </w:r>
      <w:r w:rsidR="00F81F9D" w:rsidRPr="00F81F9D">
        <w:t>tumorale</w:t>
      </w:r>
      <w:r w:rsidR="009E6219">
        <w:t xml:space="preserve">. Ces produits toxiques </w:t>
      </w:r>
      <w:r w:rsidR="00B60431">
        <w:t>empêchent</w:t>
      </w:r>
      <w:r w:rsidR="009E6219">
        <w:t xml:space="preserve"> également la réparation des Acide</w:t>
      </w:r>
      <w:r w:rsidR="005E4656">
        <w:t xml:space="preserve"> dé</w:t>
      </w:r>
      <w:r w:rsidR="00311325">
        <w:t>soxyribonucléique (ADN)</w:t>
      </w:r>
      <w:r w:rsidR="009E6219">
        <w:t xml:space="preserve"> endommagés</w:t>
      </w:r>
      <w:r w:rsidR="003E4AA0">
        <w:t xml:space="preserve"> (</w:t>
      </w:r>
      <w:r w:rsidR="00B60431">
        <w:t>7, 8)</w:t>
      </w:r>
      <w:r w:rsidR="00060FD9">
        <w:t>.</w:t>
      </w:r>
    </w:p>
    <w:p w:rsidR="00C31837" w:rsidRDefault="00C65BBA" w:rsidP="00B45887">
      <w:pPr>
        <w:pStyle w:val="NormalWeb"/>
        <w:spacing w:before="0" w:beforeAutospacing="0" w:after="0" w:afterAutospacing="0"/>
        <w:ind w:firstLine="708"/>
        <w:jc w:val="both"/>
      </w:pPr>
      <w:r>
        <w:t>Nous avons constaté que les localisations</w:t>
      </w:r>
      <w:r w:rsidR="00640C97">
        <w:t xml:space="preserve"> des </w:t>
      </w:r>
      <w:r>
        <w:t xml:space="preserve">cancers des voies </w:t>
      </w:r>
      <w:r w:rsidR="00640C97">
        <w:t>aéro-digestives</w:t>
      </w:r>
      <w:r w:rsidR="00CE6BE2">
        <w:t xml:space="preserve"> </w:t>
      </w:r>
      <w:r w:rsidR="00640C97">
        <w:t>supérieures étaient représentées en majeure partie au niveau de l’oropharynx, larynx et rhinopharynx.</w:t>
      </w:r>
      <w:r w:rsidR="00CE6BE2">
        <w:t xml:space="preserve"> </w:t>
      </w:r>
      <w:r w:rsidR="00640C97">
        <w:t xml:space="preserve">Une recherche sénégalaise a également mentionné des résultats comparables avec </w:t>
      </w:r>
      <w:r w:rsidR="00640C97">
        <w:lastRenderedPageBreak/>
        <w:t>localisation laryngée dans 48 % des cas. C</w:t>
      </w:r>
      <w:r w:rsidR="00640C97" w:rsidRPr="00640C97">
        <w:t xml:space="preserve">e qui fait que les </w:t>
      </w:r>
      <w:r w:rsidR="00B458DB" w:rsidRPr="00640C97">
        <w:t>éléments</w:t>
      </w:r>
      <w:r w:rsidR="00640C97" w:rsidRPr="00640C97">
        <w:t xml:space="preserve"> toxiques du tabac sont plutôt </w:t>
      </w:r>
      <w:r w:rsidR="00B458DB" w:rsidRPr="00640C97">
        <w:t>cancérigènes</w:t>
      </w:r>
      <w:r w:rsidR="00B458DB">
        <w:t xml:space="preserve"> par rapport aux éléments constitutifs de l’alcool. </w:t>
      </w:r>
      <w:r w:rsidR="005E4656">
        <w:t>La</w:t>
      </w:r>
      <w:r w:rsidR="00640C97" w:rsidRPr="00640C97">
        <w:t xml:space="preserve"> fumé</w:t>
      </w:r>
      <w:r w:rsidR="005E4656">
        <w:t>e</w:t>
      </w:r>
      <w:r w:rsidR="00640C97" w:rsidRPr="00640C97">
        <w:t xml:space="preserve"> du tabac va </w:t>
      </w:r>
      <w:r w:rsidR="00AC463A" w:rsidRPr="00640C97">
        <w:t>affecter</w:t>
      </w:r>
      <w:r w:rsidR="005E4656">
        <w:t xml:space="preserve"> beaucoup plus</w:t>
      </w:r>
      <w:r w:rsidR="00640C97" w:rsidRPr="00640C97">
        <w:t xml:space="preserve"> les voies </w:t>
      </w:r>
      <w:r w:rsidR="00AC463A" w:rsidRPr="00640C97">
        <w:t>aériennes</w:t>
      </w:r>
      <w:r w:rsidR="00640C97" w:rsidRPr="00640C97">
        <w:t xml:space="preserve"> que les voies digestives d’où la localisation tumorale plus </w:t>
      </w:r>
      <w:r w:rsidR="006912E0" w:rsidRPr="00640C97">
        <w:t>élevé</w:t>
      </w:r>
      <w:r w:rsidR="00C31837">
        <w:t>e</w:t>
      </w:r>
      <w:r w:rsidR="00640C97" w:rsidRPr="00640C97">
        <w:t xml:space="preserve"> au niveau laryngé</w:t>
      </w:r>
      <w:r w:rsidR="00AA7FEC">
        <w:t xml:space="preserve"> (</w:t>
      </w:r>
      <w:r w:rsidR="00B138D3">
        <w:t>7</w:t>
      </w:r>
      <w:r w:rsidR="00AA7FEC">
        <w:t>).</w:t>
      </w:r>
    </w:p>
    <w:p w:rsidR="00512280" w:rsidRDefault="00C31837" w:rsidP="00B45887">
      <w:pPr>
        <w:pStyle w:val="NormalWeb"/>
        <w:spacing w:before="0" w:beforeAutospacing="0" w:after="0" w:afterAutospacing="0"/>
        <w:ind w:firstLine="708"/>
        <w:jc w:val="both"/>
      </w:pPr>
      <w:r>
        <w:t xml:space="preserve">Dans cette recherche, la nature histologique des cancers des voies aéro-digestives supérieures était dominée par le carcinome épidermoïde. </w:t>
      </w:r>
      <w:r w:rsidR="00051FB4">
        <w:t>Des résultats similaires</w:t>
      </w:r>
      <w:r>
        <w:t xml:space="preserve"> étaient </w:t>
      </w:r>
      <w:r w:rsidR="00051FB4">
        <w:t xml:space="preserve">rapportés par différents auteurs de la littérature. Une proportion de 78 % pour l’équipe de Ouaba au Burkina Faso et 90,89% dans le travail de </w:t>
      </w:r>
      <w:r w:rsidR="00051FB4" w:rsidRPr="00051FB4">
        <w:t>Vautrin</w:t>
      </w:r>
      <w:r w:rsidR="00587AE2">
        <w:t xml:space="preserve"> (1,2).</w:t>
      </w:r>
    </w:p>
    <w:p w:rsidR="00BF1BE0" w:rsidRDefault="00A4227E" w:rsidP="00B45887">
      <w:pPr>
        <w:pStyle w:val="NormalWeb"/>
        <w:spacing w:before="0" w:beforeAutospacing="0" w:after="0" w:afterAutospacing="0"/>
        <w:ind w:firstLine="708"/>
        <w:jc w:val="both"/>
      </w:pPr>
      <w:r>
        <w:t>Dans cette étude, l</w:t>
      </w:r>
      <w:r w:rsidR="00512280" w:rsidRPr="00512280">
        <w:t>a découverte des cancers des voies aéro-digesti</w:t>
      </w:r>
      <w:r>
        <w:t>ves</w:t>
      </w:r>
      <w:r w:rsidR="00512280" w:rsidRPr="00512280">
        <w:t xml:space="preserve"> supérieur</w:t>
      </w:r>
      <w:r>
        <w:t>e</w:t>
      </w:r>
      <w:r w:rsidR="00512280" w:rsidRPr="00512280">
        <w:t>s était souvent</w:t>
      </w:r>
      <w:r w:rsidR="00CE6BE2">
        <w:t xml:space="preserve"> </w:t>
      </w:r>
      <w:r w:rsidR="00512280" w:rsidRPr="00512280">
        <w:t>tardive</w:t>
      </w:r>
      <w:r w:rsidR="00383129">
        <w:t xml:space="preserve"> au stade III et stade IV</w:t>
      </w:r>
      <w:r w:rsidR="00512280" w:rsidRPr="00512280">
        <w:t>.</w:t>
      </w:r>
      <w:r w:rsidR="00D00C89">
        <w:t xml:space="preserve"> Sur une étude effectuée</w:t>
      </w:r>
      <w:r w:rsidR="00383129">
        <w:t xml:space="preserve"> par </w:t>
      </w:r>
      <w:r w:rsidR="00383129" w:rsidRPr="00383129">
        <w:t>Randriamanovontsoa</w:t>
      </w:r>
      <w:r w:rsidR="00383129">
        <w:t xml:space="preserve"> à Madagascar a également mentionnée ce stade de découverte tardive</w:t>
      </w:r>
      <w:r w:rsidR="006577B5">
        <w:t xml:space="preserve"> de ces cancers de l’ordre de 64 % au stade III et IV. Même constatation pour Ouaba avec une proportion de 60 % au stade III et </w:t>
      </w:r>
      <w:r w:rsidR="000E5107">
        <w:t xml:space="preserve">IV (2,4). </w:t>
      </w:r>
      <w:r w:rsidR="00D00C89">
        <w:t>Au cours d’un cancer</w:t>
      </w:r>
      <w:r w:rsidR="00111301">
        <w:t xml:space="preserve"> des voies aéro-digestives supérieures, les inconforts cliniques </w:t>
      </w:r>
      <w:r w:rsidR="00BF1BE0" w:rsidRPr="000E5107">
        <w:t>apparaissent</w:t>
      </w:r>
      <w:r w:rsidR="000E5107" w:rsidRPr="000E5107">
        <w:t xml:space="preserve"> tardivement</w:t>
      </w:r>
      <w:r w:rsidR="007D4345">
        <w:t xml:space="preserve"> et cette situation</w:t>
      </w:r>
      <w:r w:rsidR="000E5107" w:rsidRPr="000E5107">
        <w:t xml:space="preserve"> justifie la </w:t>
      </w:r>
      <w:r w:rsidR="00111301" w:rsidRPr="000E5107">
        <w:t>découverte</w:t>
      </w:r>
      <w:r w:rsidR="000E5107" w:rsidRPr="000E5107">
        <w:t xml:space="preserve"> du cancer au stade avancé</w:t>
      </w:r>
      <w:r w:rsidR="00BF1BE0">
        <w:t>.</w:t>
      </w:r>
    </w:p>
    <w:p w:rsidR="008A6FB0" w:rsidRPr="003D7AE0" w:rsidRDefault="009F576E" w:rsidP="00B45887">
      <w:pPr>
        <w:pStyle w:val="NormalWeb"/>
        <w:spacing w:before="0" w:beforeAutospacing="0" w:after="0" w:afterAutospacing="0"/>
        <w:jc w:val="both"/>
      </w:pPr>
      <w:r>
        <w:t xml:space="preserve">Dans notre série des cas, les traitements médicaux </w:t>
      </w:r>
      <w:r w:rsidR="00F5054B">
        <w:t>étaient</w:t>
      </w:r>
      <w:r>
        <w:t xml:space="preserve"> très </w:t>
      </w:r>
      <w:r w:rsidR="00716030">
        <w:t>sollicités</w:t>
      </w:r>
      <w:r>
        <w:t xml:space="preserve"> pour la prise en charge d’un cancer des voies aéro-digestives supérieures</w:t>
      </w:r>
      <w:r w:rsidR="00F5054B">
        <w:t xml:space="preserve">. Une étude malgache a </w:t>
      </w:r>
      <w:r w:rsidR="00DE129F">
        <w:t>constaté</w:t>
      </w:r>
      <w:r w:rsidR="00CE6BE2">
        <w:t xml:space="preserve"> </w:t>
      </w:r>
      <w:r w:rsidR="00DE129F">
        <w:t>également</w:t>
      </w:r>
      <w:r w:rsidR="00CE6BE2">
        <w:t xml:space="preserve"> </w:t>
      </w:r>
      <w:r w:rsidR="00DE129F">
        <w:t>ce choix thérapeutique en privilégiant la chimiothérapie dans exclusive dans 36,6% des cas et radio-chimiothérapie dans 19,5 % des cas (4). A noter que</w:t>
      </w:r>
      <w:r w:rsidR="00DE129F" w:rsidRPr="00DE129F">
        <w:t>, l</w:t>
      </w:r>
      <w:r w:rsidR="00DE129F">
        <w:t>e diagnostic</w:t>
      </w:r>
      <w:r w:rsidR="00DE129F" w:rsidRPr="00DE129F">
        <w:t xml:space="preserve"> du cancer des </w:t>
      </w:r>
      <w:r w:rsidR="00DE129F">
        <w:t xml:space="preserve">voies aéro-digestives supérieures est </w:t>
      </w:r>
      <w:r w:rsidR="00660D50">
        <w:t>établi</w:t>
      </w:r>
      <w:r w:rsidR="00DE129F">
        <w:t xml:space="preserve"> au stade de chirurgi</w:t>
      </w:r>
      <w:r w:rsidR="00D856B7">
        <w:t>e dépassée et pour ce fait,</w:t>
      </w:r>
      <w:r w:rsidR="00DE129F" w:rsidRPr="00DE129F">
        <w:t xml:space="preserve"> les traitements médicaux </w:t>
      </w:r>
      <w:r w:rsidR="00D856B7" w:rsidRPr="00DE129F">
        <w:t>anticancéreux</w:t>
      </w:r>
      <w:r w:rsidR="00CE6BE2">
        <w:t xml:space="preserve"> </w:t>
      </w:r>
      <w:r w:rsidR="00156E31" w:rsidRPr="00DE129F">
        <w:t>deviennent</w:t>
      </w:r>
      <w:r w:rsidR="00DE129F" w:rsidRPr="00DE129F">
        <w:t xml:space="preserve"> une option thérapeutique de choix</w:t>
      </w:r>
      <w:r w:rsidR="00D856B7">
        <w:t>.</w:t>
      </w:r>
    </w:p>
    <w:p w:rsidR="00B45887" w:rsidRDefault="00B45887" w:rsidP="00B45887">
      <w:pPr>
        <w:pStyle w:val="NormalWeb"/>
        <w:spacing w:before="0" w:beforeAutospacing="0" w:after="0" w:afterAutospacing="0"/>
        <w:ind w:firstLine="708"/>
        <w:jc w:val="center"/>
        <w:rPr>
          <w:b/>
        </w:rPr>
        <w:sectPr w:rsidR="00B45887" w:rsidSect="00B4588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45887" w:rsidRDefault="00B45887" w:rsidP="00B45887">
      <w:pPr>
        <w:pStyle w:val="NormalWeb"/>
        <w:spacing w:before="0" w:beforeAutospacing="0" w:after="0" w:afterAutospacing="0"/>
        <w:ind w:firstLine="708"/>
        <w:jc w:val="center"/>
        <w:rPr>
          <w:b/>
        </w:rPr>
      </w:pPr>
    </w:p>
    <w:p w:rsidR="00473C63" w:rsidRDefault="00473C63" w:rsidP="00B45887">
      <w:pPr>
        <w:pStyle w:val="NormalWeb"/>
        <w:spacing w:before="0" w:beforeAutospacing="0" w:after="0" w:afterAutospacing="0"/>
        <w:rPr>
          <w:b/>
          <w:color w:val="0000FF"/>
        </w:rPr>
      </w:pPr>
    </w:p>
    <w:p w:rsidR="00473C63" w:rsidRDefault="00473C63" w:rsidP="00B45887">
      <w:pPr>
        <w:pStyle w:val="NormalWeb"/>
        <w:spacing w:before="0" w:beforeAutospacing="0" w:after="0" w:afterAutospacing="0"/>
        <w:rPr>
          <w:b/>
          <w:color w:val="0000FF"/>
        </w:rPr>
      </w:pPr>
    </w:p>
    <w:p w:rsidR="00AF182D" w:rsidRPr="00B45887" w:rsidRDefault="00B45887" w:rsidP="00B45887">
      <w:pPr>
        <w:pStyle w:val="NormalWeb"/>
        <w:spacing w:before="0" w:beforeAutospacing="0" w:after="0" w:afterAutospacing="0"/>
        <w:rPr>
          <w:b/>
          <w:color w:val="0000FF"/>
        </w:rPr>
      </w:pPr>
      <w:r>
        <w:rPr>
          <w:b/>
          <w:bCs/>
          <w:noProof/>
          <w:color w:val="0000FF"/>
        </w:rPr>
        <w:lastRenderedPageBreak/>
        <w:pict>
          <v:shape id="_x0000_s1032" type="#_x0000_t32" style="position:absolute;margin-left:61.15pt;margin-top:7.3pt;width:390pt;height:.75pt;flip:y;z-index:251664384" o:connectortype="straight" strokecolor="blue" strokeweight="1.5pt"/>
        </w:pict>
      </w:r>
      <w:r w:rsidRPr="00B45887">
        <w:rPr>
          <w:b/>
          <w:color w:val="0000FF"/>
        </w:rPr>
        <w:t>Conclusion</w:t>
      </w:r>
    </w:p>
    <w:p w:rsidR="0021428D" w:rsidRDefault="004A0739" w:rsidP="00B45887">
      <w:pPr>
        <w:pStyle w:val="NormalWeb"/>
        <w:spacing w:before="0" w:beforeAutospacing="0" w:after="0" w:afterAutospacing="0"/>
        <w:ind w:firstLine="708"/>
        <w:jc w:val="both"/>
      </w:pPr>
      <w:r>
        <w:t xml:space="preserve">Le cancer des voies </w:t>
      </w:r>
      <w:r w:rsidR="00156E31">
        <w:t>aéro-digestives</w:t>
      </w:r>
      <w:r w:rsidR="00CE6BE2">
        <w:t xml:space="preserve"> </w:t>
      </w:r>
      <w:r w:rsidR="00156E31">
        <w:t>supérieures</w:t>
      </w:r>
      <w:r>
        <w:t xml:space="preserve"> est une tumeur maligne du genre masculin </w:t>
      </w:r>
      <w:r w:rsidR="00156E31">
        <w:t>adulte.</w:t>
      </w:r>
      <w:r w:rsidR="00A462BE">
        <w:t xml:space="preserve"> L’alcool et le tabac sont </w:t>
      </w:r>
      <w:r w:rsidR="001D1715">
        <w:t>des antécédents plus marqués</w:t>
      </w:r>
      <w:r w:rsidR="00A462BE">
        <w:t xml:space="preserve"> au cours de ce</w:t>
      </w:r>
      <w:r w:rsidR="001D1715">
        <w:t>tte</w:t>
      </w:r>
      <w:r w:rsidR="00A462BE">
        <w:t xml:space="preserve"> maladie.</w:t>
      </w:r>
      <w:r w:rsidR="001D1715">
        <w:t xml:space="preserve"> L’oropharynx et le larynx sont </w:t>
      </w:r>
      <w:r w:rsidR="007520D9">
        <w:t>les organes habituellement touchés</w:t>
      </w:r>
      <w:r w:rsidR="001D1715">
        <w:t xml:space="preserve"> par le cancer des voies aéro-digestives supérieures. </w:t>
      </w:r>
      <w:r w:rsidR="007520D9">
        <w:t>Dans le volet thérapeutique, les moyens médicaux</w:t>
      </w:r>
      <w:r w:rsidR="00292E4F">
        <w:t xml:space="preserve"> palliatifs</w:t>
      </w:r>
      <w:r w:rsidR="007520D9">
        <w:t xml:space="preserve"> sont </w:t>
      </w:r>
      <w:r w:rsidR="00D00C89">
        <w:t>privilégiés</w:t>
      </w:r>
      <w:r w:rsidR="00CE6BE2">
        <w:t xml:space="preserve"> </w:t>
      </w:r>
      <w:r w:rsidR="00292E4F">
        <w:t>à cause du retard de diagnostic dans la plupart du temps.</w:t>
      </w:r>
    </w:p>
    <w:p w:rsidR="00C72C54" w:rsidRDefault="00C72C54" w:rsidP="00B45887">
      <w:pPr>
        <w:pStyle w:val="NormalWeb"/>
        <w:spacing w:before="0" w:beforeAutospacing="0" w:after="0" w:afterAutospacing="0"/>
        <w:jc w:val="both"/>
      </w:pPr>
    </w:p>
    <w:p w:rsidR="00DF04B1" w:rsidRDefault="00DF04B1" w:rsidP="00B4588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72C54" w:rsidRPr="00B45887" w:rsidRDefault="00B45887" w:rsidP="00B45887">
      <w:pPr>
        <w:pStyle w:val="NormalWeb"/>
        <w:spacing w:before="0" w:beforeAutospacing="0" w:after="0" w:afterAutospacing="0"/>
        <w:rPr>
          <w:b/>
          <w:bCs/>
          <w:color w:val="0000FF"/>
        </w:rPr>
      </w:pPr>
      <w:r>
        <w:rPr>
          <w:b/>
          <w:bCs/>
          <w:noProof/>
          <w:color w:val="0000FF"/>
        </w:rPr>
        <w:pict>
          <v:shape id="_x0000_s1031" type="#_x0000_t32" style="position:absolute;margin-left:60.4pt;margin-top:8.65pt;width:390pt;height:.75pt;flip:y;z-index:251663360" o:connectortype="straight" strokecolor="blue" strokeweight="1.5pt"/>
        </w:pict>
      </w:r>
      <w:r>
        <w:rPr>
          <w:b/>
          <w:bCs/>
          <w:color w:val="0000FF"/>
        </w:rPr>
        <w:t>Réfé</w:t>
      </w:r>
      <w:r w:rsidRPr="00B45887">
        <w:rPr>
          <w:b/>
          <w:bCs/>
          <w:color w:val="0000FF"/>
        </w:rPr>
        <w:t>rences</w:t>
      </w:r>
    </w:p>
    <w:p w:rsidR="007D7E3E" w:rsidRPr="00347CE5" w:rsidRDefault="00F32D10" w:rsidP="00B45887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 w:rsidRPr="00347CE5">
        <w:t xml:space="preserve">Vautrin AD, Regloix SB, Girod A, Joiffroy T, Rodriguez J. Épidémiologie, diagnostic et traitement des cancers de la tête et du cou. Soins. </w:t>
      </w:r>
      <w:r w:rsidR="000D2077" w:rsidRPr="00347CE5">
        <w:t>2015 ;798 :</w:t>
      </w:r>
      <w:r w:rsidRPr="00347CE5">
        <w:t>32-5</w:t>
      </w:r>
    </w:p>
    <w:p w:rsidR="00A642C4" w:rsidRPr="00347CE5" w:rsidRDefault="00A07DD7" w:rsidP="00B45887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 w:rsidRPr="00347CE5">
        <w:t>Ouaba K, Dao M, Sano D. Les cancers ORL et cervico-faciaux au Burkina Faso</w:t>
      </w:r>
      <w:r w:rsidR="00043C22" w:rsidRPr="00347CE5">
        <w:t xml:space="preserve"> : épidémiologie</w:t>
      </w:r>
      <w:r w:rsidRPr="00347CE5">
        <w:t xml:space="preserve">, </w:t>
      </w:r>
      <w:r w:rsidR="00043C22" w:rsidRPr="00347CE5">
        <w:t>problème</w:t>
      </w:r>
      <w:r w:rsidRPr="00347CE5">
        <w:t xml:space="preserve"> de diagnostic et de prise en charge à propos de 217 cas. Med</w:t>
      </w:r>
      <w:r w:rsidR="00D8525A">
        <w:t xml:space="preserve">. </w:t>
      </w:r>
      <w:r w:rsidRPr="00347CE5">
        <w:t>Afr</w:t>
      </w:r>
      <w:r w:rsidR="00D8525A">
        <w:t>.</w:t>
      </w:r>
      <w:r w:rsidRPr="00347CE5">
        <w:t xml:space="preserve"> Noire. </w:t>
      </w:r>
      <w:r w:rsidR="00043C22" w:rsidRPr="00347CE5">
        <w:t>1997 ;</w:t>
      </w:r>
      <w:r w:rsidRPr="00347CE5">
        <w:t>44:452-6.</w:t>
      </w:r>
    </w:p>
    <w:p w:rsidR="00B60431" w:rsidRPr="00347CE5" w:rsidRDefault="003A43E3" w:rsidP="00B45887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Auperin A, </w:t>
      </w:r>
      <w:r w:rsidR="00CE6BE2">
        <w:rPr>
          <w:rFonts w:ascii="Times New Roman" w:eastAsia="Times New Roman" w:hAnsi="Times New Roman" w:cs="Times New Roman"/>
          <w:sz w:val="24"/>
          <w:szCs w:val="24"/>
          <w:lang w:eastAsia="fr-FR"/>
        </w:rPr>
        <w:t>Melkane A, Luce D,Temam S. Epidé</w:t>
      </w:r>
      <w:r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>miologie des cancers des voies aerodigestives</w:t>
      </w:r>
      <w:r w:rsidR="00CE6BE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superieures. La lettre du cancerologue 2011 ;20(2) :102-6. </w:t>
      </w:r>
    </w:p>
    <w:p w:rsidR="00B60431" w:rsidRPr="00347CE5" w:rsidRDefault="00B60431" w:rsidP="00B45887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>Randriamanovontsoa NE, Hasiniatsy NR, Rafaramino F, Rakoto FA.</w:t>
      </w:r>
      <w:r w:rsidR="001E6E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E6BE2"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>Caractéristiques</w:t>
      </w:r>
      <w:r w:rsidR="00CE6BE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épidé</w:t>
      </w:r>
      <w:r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mio-cliniques des cancers des VADS au service d’oncologie CHUA/JRA de 2008 à 2012. Rev Med Madag. </w:t>
      </w:r>
      <w:r w:rsidR="001C1423"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>2015 ;</w:t>
      </w:r>
      <w:r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>5(3):623-5.</w:t>
      </w:r>
    </w:p>
    <w:p w:rsidR="003A43E3" w:rsidRPr="00347CE5" w:rsidRDefault="00B60431" w:rsidP="00B45887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>Winga F. Cancers primitifs oto-rhino-laryngologique et cervico-maxillo-faciaux : Aspects épidémiologiques</w:t>
      </w:r>
      <w:r w:rsidR="004113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="00411339"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>histopathologiques [</w:t>
      </w:r>
      <w:r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>Thèse]. Chirurgie ORL et cervico-faciale</w:t>
      </w:r>
      <w:r w:rsidR="00411339"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Togo ;</w:t>
      </w:r>
      <w:r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>2016</w:t>
      </w:r>
      <w:r w:rsidR="00411339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>124</w:t>
      </w:r>
    </w:p>
    <w:p w:rsidR="00B60431" w:rsidRPr="00347CE5" w:rsidRDefault="00B60431" w:rsidP="00B45887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Oumar K. Aspect épidémioclinique, thérapeutique et évolutif des cancers du larynx dans le service ORL-CCF du CHU-Gabriel de </w:t>
      </w:r>
      <w:r w:rsidR="00A92AE2"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>Bamako [</w:t>
      </w:r>
      <w:r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Thèse]. Médicine </w:t>
      </w:r>
      <w:r w:rsidR="00A92AE2"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>humaine :Bamako ;</w:t>
      </w:r>
      <w:r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2020</w:t>
      </w:r>
      <w:r w:rsidR="00411339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347CE5">
        <w:rPr>
          <w:rFonts w:ascii="Times New Roman" w:eastAsia="Times New Roman" w:hAnsi="Times New Roman" w:cs="Times New Roman"/>
          <w:sz w:val="24"/>
          <w:szCs w:val="24"/>
          <w:lang w:eastAsia="fr-FR"/>
        </w:rPr>
        <w:t>143</w:t>
      </w:r>
    </w:p>
    <w:p w:rsidR="00B60431" w:rsidRPr="00347CE5" w:rsidRDefault="003E4AA0" w:rsidP="00B45887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7CE5">
        <w:rPr>
          <w:rFonts w:ascii="Times New Roman" w:hAnsi="Times New Roman" w:cs="Times New Roman"/>
          <w:sz w:val="24"/>
          <w:szCs w:val="24"/>
        </w:rPr>
        <w:t>Sturgis</w:t>
      </w:r>
      <w:r w:rsidR="008D4764">
        <w:rPr>
          <w:rFonts w:ascii="Times New Roman" w:hAnsi="Times New Roman" w:cs="Times New Roman"/>
          <w:sz w:val="24"/>
          <w:szCs w:val="24"/>
        </w:rPr>
        <w:t xml:space="preserve"> EM</w:t>
      </w:r>
      <w:r w:rsidRPr="00347CE5">
        <w:rPr>
          <w:rFonts w:ascii="Times New Roman" w:hAnsi="Times New Roman" w:cs="Times New Roman"/>
          <w:sz w:val="24"/>
          <w:szCs w:val="24"/>
        </w:rPr>
        <w:t>. Trends in head and neck cancer incidence in relation to smoking prevalence: an emerging</w:t>
      </w:r>
      <w:r w:rsidR="001E6E4B">
        <w:rPr>
          <w:rFonts w:ascii="Times New Roman" w:hAnsi="Times New Roman" w:cs="Times New Roman"/>
          <w:sz w:val="24"/>
          <w:szCs w:val="24"/>
        </w:rPr>
        <w:t xml:space="preserve"> </w:t>
      </w:r>
      <w:r w:rsidRPr="00347CE5">
        <w:rPr>
          <w:rFonts w:ascii="Times New Roman" w:hAnsi="Times New Roman" w:cs="Times New Roman"/>
          <w:sz w:val="24"/>
          <w:szCs w:val="24"/>
        </w:rPr>
        <w:t>epidemic of human</w:t>
      </w:r>
      <w:r w:rsidR="001E6E4B">
        <w:rPr>
          <w:rFonts w:ascii="Times New Roman" w:hAnsi="Times New Roman" w:cs="Times New Roman"/>
          <w:sz w:val="24"/>
          <w:szCs w:val="24"/>
        </w:rPr>
        <w:t xml:space="preserve"> </w:t>
      </w:r>
      <w:r w:rsidR="00CE6BE2">
        <w:rPr>
          <w:rFonts w:ascii="Times New Roman" w:hAnsi="Times New Roman" w:cs="Times New Roman"/>
          <w:sz w:val="24"/>
          <w:szCs w:val="24"/>
        </w:rPr>
        <w:t>pap</w:t>
      </w:r>
      <w:r w:rsidRPr="00347CE5">
        <w:rPr>
          <w:rFonts w:ascii="Times New Roman" w:hAnsi="Times New Roman" w:cs="Times New Roman"/>
          <w:sz w:val="24"/>
          <w:szCs w:val="24"/>
        </w:rPr>
        <w:t>ilomavirus-associated cancers</w:t>
      </w:r>
      <w:r w:rsidR="008D4764">
        <w:rPr>
          <w:rFonts w:ascii="Times New Roman" w:hAnsi="Times New Roman" w:cs="Times New Roman"/>
          <w:sz w:val="24"/>
          <w:szCs w:val="24"/>
        </w:rPr>
        <w:t> ?</w:t>
      </w:r>
      <w:r w:rsidR="00411339">
        <w:rPr>
          <w:rFonts w:ascii="Times New Roman" w:hAnsi="Times New Roman" w:cs="Times New Roman"/>
          <w:sz w:val="24"/>
          <w:szCs w:val="24"/>
        </w:rPr>
        <w:t>.</w:t>
      </w:r>
      <w:r w:rsidRPr="00347CE5">
        <w:rPr>
          <w:rFonts w:ascii="Times New Roman" w:hAnsi="Times New Roman" w:cs="Times New Roman"/>
          <w:sz w:val="24"/>
          <w:szCs w:val="24"/>
        </w:rPr>
        <w:t>cancer</w:t>
      </w:r>
      <w:r w:rsidR="0030783B">
        <w:rPr>
          <w:rFonts w:ascii="Times New Roman" w:hAnsi="Times New Roman" w:cs="Times New Roman"/>
          <w:sz w:val="24"/>
          <w:szCs w:val="24"/>
        </w:rPr>
        <w:t> ; 2007</w:t>
      </w:r>
      <w:r w:rsidRPr="00347CE5">
        <w:rPr>
          <w:rFonts w:ascii="Times New Roman" w:hAnsi="Times New Roman" w:cs="Times New Roman"/>
          <w:sz w:val="24"/>
          <w:szCs w:val="24"/>
        </w:rPr>
        <w:t>: 1429-35</w:t>
      </w:r>
    </w:p>
    <w:p w:rsidR="003E4AA0" w:rsidRPr="000126D1" w:rsidRDefault="003E4AA0" w:rsidP="00B45887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126D1">
        <w:rPr>
          <w:rFonts w:ascii="Times New Roman" w:hAnsi="Times New Roman" w:cs="Times New Roman"/>
          <w:sz w:val="24"/>
          <w:szCs w:val="24"/>
        </w:rPr>
        <w:t>Yokoyama A, Kato H, Yokoyama T, Tsujinaka T,Muto M, et al. 2002. Genetic</w:t>
      </w:r>
      <w:r w:rsidR="001E6E4B">
        <w:rPr>
          <w:rFonts w:ascii="Times New Roman" w:hAnsi="Times New Roman" w:cs="Times New Roman"/>
          <w:sz w:val="24"/>
          <w:szCs w:val="24"/>
        </w:rPr>
        <w:t xml:space="preserve"> </w:t>
      </w:r>
      <w:r w:rsidRPr="000126D1">
        <w:rPr>
          <w:rFonts w:ascii="Times New Roman" w:hAnsi="Times New Roman" w:cs="Times New Roman"/>
          <w:sz w:val="24"/>
          <w:szCs w:val="24"/>
        </w:rPr>
        <w:t>polymorphisms of alcohol and aldehyde</w:t>
      </w:r>
      <w:r w:rsidR="001E6E4B">
        <w:rPr>
          <w:rFonts w:ascii="Times New Roman" w:hAnsi="Times New Roman" w:cs="Times New Roman"/>
          <w:sz w:val="24"/>
          <w:szCs w:val="24"/>
        </w:rPr>
        <w:t xml:space="preserve"> </w:t>
      </w:r>
      <w:r w:rsidRPr="000126D1">
        <w:rPr>
          <w:rFonts w:ascii="Times New Roman" w:hAnsi="Times New Roman" w:cs="Times New Roman"/>
          <w:sz w:val="24"/>
          <w:szCs w:val="24"/>
        </w:rPr>
        <w:t>dehydrogenases and glutathione S-transferase M1 and drinking, smoking, and diet in Japanese men with</w:t>
      </w:r>
      <w:r w:rsidR="001E6E4B">
        <w:rPr>
          <w:rFonts w:ascii="Times New Roman" w:hAnsi="Times New Roman" w:cs="Times New Roman"/>
          <w:sz w:val="24"/>
          <w:szCs w:val="24"/>
        </w:rPr>
        <w:t xml:space="preserve"> </w:t>
      </w:r>
      <w:r w:rsidRPr="000126D1">
        <w:rPr>
          <w:rFonts w:ascii="Times New Roman" w:hAnsi="Times New Roman" w:cs="Times New Roman"/>
          <w:sz w:val="24"/>
          <w:szCs w:val="24"/>
        </w:rPr>
        <w:t>esophageal</w:t>
      </w:r>
      <w:r w:rsidR="001E6E4B">
        <w:rPr>
          <w:rFonts w:ascii="Times New Roman" w:hAnsi="Times New Roman" w:cs="Times New Roman"/>
          <w:sz w:val="24"/>
          <w:szCs w:val="24"/>
        </w:rPr>
        <w:t xml:space="preserve"> </w:t>
      </w:r>
      <w:r w:rsidRPr="000126D1">
        <w:rPr>
          <w:rFonts w:ascii="Times New Roman" w:hAnsi="Times New Roman" w:cs="Times New Roman"/>
          <w:sz w:val="24"/>
          <w:szCs w:val="24"/>
        </w:rPr>
        <w:t>squamous</w:t>
      </w:r>
      <w:r w:rsidR="001E6E4B">
        <w:rPr>
          <w:rFonts w:ascii="Times New Roman" w:hAnsi="Times New Roman" w:cs="Times New Roman"/>
          <w:sz w:val="24"/>
          <w:szCs w:val="24"/>
        </w:rPr>
        <w:t xml:space="preserve"> </w:t>
      </w:r>
      <w:r w:rsidRPr="000126D1">
        <w:rPr>
          <w:rFonts w:ascii="Times New Roman" w:hAnsi="Times New Roman" w:cs="Times New Roman"/>
          <w:sz w:val="24"/>
          <w:szCs w:val="24"/>
        </w:rPr>
        <w:t>cell</w:t>
      </w:r>
      <w:r w:rsidR="001E6E4B">
        <w:rPr>
          <w:rFonts w:ascii="Times New Roman" w:hAnsi="Times New Roman" w:cs="Times New Roman"/>
          <w:sz w:val="24"/>
          <w:szCs w:val="24"/>
        </w:rPr>
        <w:t xml:space="preserve"> </w:t>
      </w:r>
      <w:r w:rsidRPr="000126D1">
        <w:rPr>
          <w:rFonts w:ascii="Times New Roman" w:hAnsi="Times New Roman" w:cs="Times New Roman"/>
          <w:sz w:val="24"/>
          <w:szCs w:val="24"/>
        </w:rPr>
        <w:t>carcinoma</w:t>
      </w:r>
      <w:r w:rsidR="000126D1" w:rsidRPr="000126D1">
        <w:rPr>
          <w:rFonts w:ascii="Times New Roman" w:hAnsi="Times New Roman" w:cs="Times New Roman"/>
          <w:sz w:val="24"/>
          <w:szCs w:val="24"/>
        </w:rPr>
        <w:t>.</w:t>
      </w:r>
      <w:r w:rsidR="001E6E4B">
        <w:rPr>
          <w:rFonts w:ascii="Times New Roman" w:hAnsi="Times New Roman" w:cs="Times New Roman"/>
          <w:sz w:val="24"/>
          <w:szCs w:val="24"/>
        </w:rPr>
        <w:t xml:space="preserve"> </w:t>
      </w:r>
      <w:r w:rsidR="000126D1" w:rsidRPr="000126D1">
        <w:rPr>
          <w:rFonts w:ascii="Times New Roman" w:hAnsi="Times New Roman" w:cs="Times New Roman"/>
          <w:sz w:val="24"/>
          <w:szCs w:val="24"/>
        </w:rPr>
        <w:t>Carcinogenesis</w:t>
      </w:r>
      <w:r w:rsidR="004370AA">
        <w:rPr>
          <w:rFonts w:ascii="Times New Roman" w:hAnsi="Times New Roman" w:cs="Times New Roman"/>
          <w:sz w:val="24"/>
          <w:szCs w:val="24"/>
        </w:rPr>
        <w:t>.</w:t>
      </w:r>
      <w:r w:rsidR="000126D1" w:rsidRPr="000126D1">
        <w:rPr>
          <w:rFonts w:ascii="Times New Roman" w:hAnsi="Times New Roman" w:cs="Times New Roman"/>
          <w:sz w:val="24"/>
          <w:szCs w:val="24"/>
        </w:rPr>
        <w:t xml:space="preserve">2002 Nov;23(11):1851-9. </w:t>
      </w:r>
    </w:p>
    <w:p w:rsidR="00955881" w:rsidRPr="00955881" w:rsidRDefault="00955881" w:rsidP="00B45887">
      <w:pPr>
        <w:spacing w:line="240" w:lineRule="auto"/>
        <w:rPr>
          <w:lang w:eastAsia="fr-FR"/>
        </w:rPr>
      </w:pPr>
    </w:p>
    <w:p w:rsidR="00955881" w:rsidRDefault="00955881" w:rsidP="00B45887">
      <w:pPr>
        <w:spacing w:line="240" w:lineRule="auto"/>
        <w:rPr>
          <w:lang w:eastAsia="fr-FR"/>
        </w:rPr>
      </w:pPr>
    </w:p>
    <w:p w:rsidR="00126C99" w:rsidRDefault="00126C99" w:rsidP="00B45887">
      <w:pPr>
        <w:spacing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:rsidR="00126C99" w:rsidRDefault="00126C99" w:rsidP="00B45887">
      <w:pPr>
        <w:spacing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:rsidR="00CE6BE2" w:rsidRDefault="00CE6BE2" w:rsidP="00B45887">
      <w:pPr>
        <w:spacing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:rsidR="00CE6BE2" w:rsidRDefault="00CE6BE2" w:rsidP="00B45887">
      <w:pPr>
        <w:spacing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:rsidR="00CE6BE2" w:rsidRDefault="00CE6BE2" w:rsidP="00B45887">
      <w:pPr>
        <w:spacing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:rsidR="00A92AE2" w:rsidRDefault="00A92AE2" w:rsidP="00B45887">
      <w:pPr>
        <w:spacing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:rsidR="00F71720" w:rsidRDefault="00F71720" w:rsidP="00B45887">
      <w:pPr>
        <w:spacing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:rsidR="006B0125" w:rsidRDefault="006B0125" w:rsidP="00B45887">
      <w:pPr>
        <w:spacing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:rsidR="004F4EE3" w:rsidRPr="006B0125" w:rsidRDefault="004F4EE3" w:rsidP="00B45887">
      <w:pPr>
        <w:spacing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:rsidR="006B0125" w:rsidRPr="006B0125" w:rsidRDefault="006B0125" w:rsidP="00B45887">
      <w:pPr>
        <w:spacing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sectPr w:rsidR="006B0125" w:rsidRPr="006B0125" w:rsidSect="00B4588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80A" w:rsidRDefault="0098080A" w:rsidP="00EB40DC">
      <w:pPr>
        <w:spacing w:after="0" w:line="240" w:lineRule="auto"/>
      </w:pPr>
      <w:r>
        <w:separator/>
      </w:r>
    </w:p>
  </w:endnote>
  <w:endnote w:type="continuationSeparator" w:id="1">
    <w:p w:rsidR="0098080A" w:rsidRDefault="0098080A" w:rsidP="00EB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595704"/>
      <w:docPartObj>
        <w:docPartGallery w:val="Page Numbers (Bottom of Page)"/>
        <w:docPartUnique/>
      </w:docPartObj>
    </w:sdtPr>
    <w:sdtContent>
      <w:p w:rsidR="00080AEC" w:rsidRDefault="00080AEC">
        <w:pPr>
          <w:pStyle w:val="Pieddepage"/>
          <w:jc w:val="right"/>
        </w:pPr>
        <w:fldSimple w:instr=" PAGE   \* MERGEFORMAT ">
          <w:r w:rsidR="00FC6380">
            <w:rPr>
              <w:noProof/>
            </w:rPr>
            <w:t>525</w:t>
          </w:r>
        </w:fldSimple>
      </w:p>
    </w:sdtContent>
  </w:sdt>
  <w:p w:rsidR="00080AEC" w:rsidRPr="00A3200D" w:rsidRDefault="00A3200D">
    <w:pPr>
      <w:pStyle w:val="Pieddepage"/>
      <w:rPr>
        <w:i/>
      </w:rPr>
    </w:pPr>
    <w:r w:rsidRPr="00A3200D">
      <w:rPr>
        <w:i/>
      </w:rPr>
      <w:t>Andriamampionona GB et al</w:t>
    </w:r>
    <w:r>
      <w:rPr>
        <w:i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80A" w:rsidRDefault="0098080A" w:rsidP="00EB40DC">
      <w:pPr>
        <w:spacing w:after="0" w:line="240" w:lineRule="auto"/>
      </w:pPr>
      <w:r>
        <w:separator/>
      </w:r>
    </w:p>
  </w:footnote>
  <w:footnote w:type="continuationSeparator" w:id="1">
    <w:p w:rsidR="0098080A" w:rsidRDefault="0098080A" w:rsidP="00EB4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0D" w:rsidRPr="00FC6380" w:rsidRDefault="00FC6380" w:rsidP="00FC6380">
    <w:pPr>
      <w:pStyle w:val="En-tte"/>
      <w:tabs>
        <w:tab w:val="clear" w:pos="4536"/>
        <w:tab w:val="clear" w:pos="9072"/>
        <w:tab w:val="left" w:pos="4052"/>
      </w:tabs>
      <w:jc w:val="center"/>
      <w:rPr>
        <w:i/>
      </w:rPr>
    </w:pPr>
    <w:r>
      <w:rPr>
        <w:i/>
      </w:rPr>
      <w:t xml:space="preserve">Head and Neck Journal of Madagascar. </w:t>
    </w:r>
    <w:r w:rsidRPr="00FC6380">
      <w:t>2024 ; 5 : 525-528.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20F8"/>
    <w:multiLevelType w:val="hybridMultilevel"/>
    <w:tmpl w:val="3C0E62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C4013"/>
    <w:multiLevelType w:val="hybridMultilevel"/>
    <w:tmpl w:val="D26872BA"/>
    <w:lvl w:ilvl="0" w:tplc="E0060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2BC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C28C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D4A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2B6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9227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8A6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AC4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B4B5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46B15"/>
    <w:multiLevelType w:val="hybridMultilevel"/>
    <w:tmpl w:val="8A682A5A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8C167AB"/>
    <w:multiLevelType w:val="hybridMultilevel"/>
    <w:tmpl w:val="3C0E62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985"/>
    <w:rsid w:val="00001FE5"/>
    <w:rsid w:val="000126D1"/>
    <w:rsid w:val="00017500"/>
    <w:rsid w:val="00021E60"/>
    <w:rsid w:val="00024889"/>
    <w:rsid w:val="00025547"/>
    <w:rsid w:val="00035541"/>
    <w:rsid w:val="0003640C"/>
    <w:rsid w:val="00042512"/>
    <w:rsid w:val="00043C22"/>
    <w:rsid w:val="00046A66"/>
    <w:rsid w:val="00051A97"/>
    <w:rsid w:val="00051FB4"/>
    <w:rsid w:val="00060678"/>
    <w:rsid w:val="00060FD9"/>
    <w:rsid w:val="00063414"/>
    <w:rsid w:val="00063B88"/>
    <w:rsid w:val="00064F56"/>
    <w:rsid w:val="00076449"/>
    <w:rsid w:val="00080AEC"/>
    <w:rsid w:val="000973DC"/>
    <w:rsid w:val="000A1F49"/>
    <w:rsid w:val="000A3313"/>
    <w:rsid w:val="000A3F00"/>
    <w:rsid w:val="000D2077"/>
    <w:rsid w:val="000D76E7"/>
    <w:rsid w:val="000D7F36"/>
    <w:rsid w:val="000E5107"/>
    <w:rsid w:val="000E5CEC"/>
    <w:rsid w:val="00101A83"/>
    <w:rsid w:val="001047DB"/>
    <w:rsid w:val="0010508B"/>
    <w:rsid w:val="00107370"/>
    <w:rsid w:val="00111301"/>
    <w:rsid w:val="0011352C"/>
    <w:rsid w:val="001254FB"/>
    <w:rsid w:val="00126C99"/>
    <w:rsid w:val="001369C1"/>
    <w:rsid w:val="00142562"/>
    <w:rsid w:val="00156E31"/>
    <w:rsid w:val="00164C3A"/>
    <w:rsid w:val="00175AB1"/>
    <w:rsid w:val="00177A8C"/>
    <w:rsid w:val="0018603E"/>
    <w:rsid w:val="00191530"/>
    <w:rsid w:val="00193919"/>
    <w:rsid w:val="001949AC"/>
    <w:rsid w:val="001969FB"/>
    <w:rsid w:val="001C1423"/>
    <w:rsid w:val="001C1D0E"/>
    <w:rsid w:val="001C45CF"/>
    <w:rsid w:val="001C52CA"/>
    <w:rsid w:val="001D0204"/>
    <w:rsid w:val="001D020C"/>
    <w:rsid w:val="001D1715"/>
    <w:rsid w:val="001D3209"/>
    <w:rsid w:val="001E6E4B"/>
    <w:rsid w:val="001F6206"/>
    <w:rsid w:val="0020599E"/>
    <w:rsid w:val="002126B7"/>
    <w:rsid w:val="0021428D"/>
    <w:rsid w:val="00215E64"/>
    <w:rsid w:val="00230BF6"/>
    <w:rsid w:val="0025280C"/>
    <w:rsid w:val="002548FE"/>
    <w:rsid w:val="00254C22"/>
    <w:rsid w:val="00262A38"/>
    <w:rsid w:val="0026395E"/>
    <w:rsid w:val="002730AE"/>
    <w:rsid w:val="00283352"/>
    <w:rsid w:val="00283E1F"/>
    <w:rsid w:val="00291081"/>
    <w:rsid w:val="00292E4F"/>
    <w:rsid w:val="002A166B"/>
    <w:rsid w:val="002A3179"/>
    <w:rsid w:val="002B3F22"/>
    <w:rsid w:val="002C292A"/>
    <w:rsid w:val="002C4CE2"/>
    <w:rsid w:val="002D3B49"/>
    <w:rsid w:val="002E09DF"/>
    <w:rsid w:val="00305DC6"/>
    <w:rsid w:val="0030761E"/>
    <w:rsid w:val="0030783B"/>
    <w:rsid w:val="00311325"/>
    <w:rsid w:val="003158DC"/>
    <w:rsid w:val="003305EC"/>
    <w:rsid w:val="003356C4"/>
    <w:rsid w:val="0034103C"/>
    <w:rsid w:val="00347CE5"/>
    <w:rsid w:val="003515E5"/>
    <w:rsid w:val="00354439"/>
    <w:rsid w:val="003654A8"/>
    <w:rsid w:val="00366639"/>
    <w:rsid w:val="00383129"/>
    <w:rsid w:val="003A1717"/>
    <w:rsid w:val="003A43E3"/>
    <w:rsid w:val="003B49BB"/>
    <w:rsid w:val="003C035F"/>
    <w:rsid w:val="003C4515"/>
    <w:rsid w:val="003D148B"/>
    <w:rsid w:val="003D7AE0"/>
    <w:rsid w:val="003D7DFC"/>
    <w:rsid w:val="003E1275"/>
    <w:rsid w:val="003E4AA0"/>
    <w:rsid w:val="003F298D"/>
    <w:rsid w:val="003F7F1E"/>
    <w:rsid w:val="00405219"/>
    <w:rsid w:val="00405897"/>
    <w:rsid w:val="00411339"/>
    <w:rsid w:val="00416A0A"/>
    <w:rsid w:val="004173E8"/>
    <w:rsid w:val="004370AA"/>
    <w:rsid w:val="00440544"/>
    <w:rsid w:val="00460E32"/>
    <w:rsid w:val="0046127B"/>
    <w:rsid w:val="00473C63"/>
    <w:rsid w:val="00475CB2"/>
    <w:rsid w:val="0047785E"/>
    <w:rsid w:val="004A0739"/>
    <w:rsid w:val="004A34FD"/>
    <w:rsid w:val="004A7106"/>
    <w:rsid w:val="004C5D02"/>
    <w:rsid w:val="004D61C8"/>
    <w:rsid w:val="004E283B"/>
    <w:rsid w:val="004F4EE3"/>
    <w:rsid w:val="004F589D"/>
    <w:rsid w:val="004F7398"/>
    <w:rsid w:val="00510BB3"/>
    <w:rsid w:val="00512280"/>
    <w:rsid w:val="00517072"/>
    <w:rsid w:val="00524010"/>
    <w:rsid w:val="005269A4"/>
    <w:rsid w:val="00530139"/>
    <w:rsid w:val="00534B3C"/>
    <w:rsid w:val="00560AFB"/>
    <w:rsid w:val="00566B0E"/>
    <w:rsid w:val="00575E61"/>
    <w:rsid w:val="00581700"/>
    <w:rsid w:val="005829E8"/>
    <w:rsid w:val="00584B76"/>
    <w:rsid w:val="00587AE2"/>
    <w:rsid w:val="005C19FF"/>
    <w:rsid w:val="005C30AA"/>
    <w:rsid w:val="005E4656"/>
    <w:rsid w:val="00601B34"/>
    <w:rsid w:val="006276A8"/>
    <w:rsid w:val="00627DC1"/>
    <w:rsid w:val="00633C27"/>
    <w:rsid w:val="00637B4C"/>
    <w:rsid w:val="00637DF6"/>
    <w:rsid w:val="00640C97"/>
    <w:rsid w:val="006577B5"/>
    <w:rsid w:val="00660D50"/>
    <w:rsid w:val="00674575"/>
    <w:rsid w:val="00677FE4"/>
    <w:rsid w:val="006912E0"/>
    <w:rsid w:val="00693062"/>
    <w:rsid w:val="006938BA"/>
    <w:rsid w:val="006A5845"/>
    <w:rsid w:val="006B0125"/>
    <w:rsid w:val="006B3ECB"/>
    <w:rsid w:val="006C4B9C"/>
    <w:rsid w:val="006F402F"/>
    <w:rsid w:val="006F63D0"/>
    <w:rsid w:val="00706FF7"/>
    <w:rsid w:val="00716030"/>
    <w:rsid w:val="0072014F"/>
    <w:rsid w:val="00726ECD"/>
    <w:rsid w:val="007355CE"/>
    <w:rsid w:val="0074058F"/>
    <w:rsid w:val="007520D9"/>
    <w:rsid w:val="00754676"/>
    <w:rsid w:val="007642A1"/>
    <w:rsid w:val="007671A5"/>
    <w:rsid w:val="00771B81"/>
    <w:rsid w:val="00772368"/>
    <w:rsid w:val="00774FA0"/>
    <w:rsid w:val="00775772"/>
    <w:rsid w:val="0077652A"/>
    <w:rsid w:val="007779ED"/>
    <w:rsid w:val="00782AF2"/>
    <w:rsid w:val="00786B20"/>
    <w:rsid w:val="00786C76"/>
    <w:rsid w:val="00794557"/>
    <w:rsid w:val="007A153D"/>
    <w:rsid w:val="007B3905"/>
    <w:rsid w:val="007C6BAB"/>
    <w:rsid w:val="007D4345"/>
    <w:rsid w:val="007D4979"/>
    <w:rsid w:val="007D5761"/>
    <w:rsid w:val="007D6C09"/>
    <w:rsid w:val="007D7E3E"/>
    <w:rsid w:val="007F577F"/>
    <w:rsid w:val="008057C0"/>
    <w:rsid w:val="0080768F"/>
    <w:rsid w:val="00824033"/>
    <w:rsid w:val="00833045"/>
    <w:rsid w:val="008465E5"/>
    <w:rsid w:val="0085075D"/>
    <w:rsid w:val="008618D8"/>
    <w:rsid w:val="00875136"/>
    <w:rsid w:val="00882047"/>
    <w:rsid w:val="00891890"/>
    <w:rsid w:val="008A35B5"/>
    <w:rsid w:val="008A6FB0"/>
    <w:rsid w:val="008C408A"/>
    <w:rsid w:val="008D4764"/>
    <w:rsid w:val="008D60E1"/>
    <w:rsid w:val="008E117C"/>
    <w:rsid w:val="008E34F2"/>
    <w:rsid w:val="008E3922"/>
    <w:rsid w:val="008E626D"/>
    <w:rsid w:val="009065B6"/>
    <w:rsid w:val="009170F8"/>
    <w:rsid w:val="00941370"/>
    <w:rsid w:val="009459B3"/>
    <w:rsid w:val="00951699"/>
    <w:rsid w:val="00955881"/>
    <w:rsid w:val="00967958"/>
    <w:rsid w:val="00967FA1"/>
    <w:rsid w:val="0098080A"/>
    <w:rsid w:val="0099127D"/>
    <w:rsid w:val="009952B6"/>
    <w:rsid w:val="009A591B"/>
    <w:rsid w:val="009B34F8"/>
    <w:rsid w:val="009B7460"/>
    <w:rsid w:val="009C0359"/>
    <w:rsid w:val="009C63A8"/>
    <w:rsid w:val="009D245C"/>
    <w:rsid w:val="009E5D69"/>
    <w:rsid w:val="009E6219"/>
    <w:rsid w:val="009F576E"/>
    <w:rsid w:val="00A01128"/>
    <w:rsid w:val="00A02484"/>
    <w:rsid w:val="00A0689C"/>
    <w:rsid w:val="00A07260"/>
    <w:rsid w:val="00A07DD7"/>
    <w:rsid w:val="00A10827"/>
    <w:rsid w:val="00A154BE"/>
    <w:rsid w:val="00A3200D"/>
    <w:rsid w:val="00A4227E"/>
    <w:rsid w:val="00A462BE"/>
    <w:rsid w:val="00A516EF"/>
    <w:rsid w:val="00A56497"/>
    <w:rsid w:val="00A642C4"/>
    <w:rsid w:val="00A71278"/>
    <w:rsid w:val="00A74D65"/>
    <w:rsid w:val="00A74E94"/>
    <w:rsid w:val="00A7630E"/>
    <w:rsid w:val="00A803F7"/>
    <w:rsid w:val="00A92AE2"/>
    <w:rsid w:val="00AA7FEC"/>
    <w:rsid w:val="00AB0E0D"/>
    <w:rsid w:val="00AC463A"/>
    <w:rsid w:val="00AC4966"/>
    <w:rsid w:val="00AC652B"/>
    <w:rsid w:val="00AD5F21"/>
    <w:rsid w:val="00AD6610"/>
    <w:rsid w:val="00AD7C9A"/>
    <w:rsid w:val="00AE646B"/>
    <w:rsid w:val="00AF182D"/>
    <w:rsid w:val="00AF4777"/>
    <w:rsid w:val="00B01EBA"/>
    <w:rsid w:val="00B03125"/>
    <w:rsid w:val="00B057E1"/>
    <w:rsid w:val="00B06FA0"/>
    <w:rsid w:val="00B138D3"/>
    <w:rsid w:val="00B23AFD"/>
    <w:rsid w:val="00B40B42"/>
    <w:rsid w:val="00B44685"/>
    <w:rsid w:val="00B45887"/>
    <w:rsid w:val="00B458DB"/>
    <w:rsid w:val="00B60431"/>
    <w:rsid w:val="00B64827"/>
    <w:rsid w:val="00B6671A"/>
    <w:rsid w:val="00B7215A"/>
    <w:rsid w:val="00B73F97"/>
    <w:rsid w:val="00B77E0A"/>
    <w:rsid w:val="00B90BA7"/>
    <w:rsid w:val="00B93167"/>
    <w:rsid w:val="00BA0187"/>
    <w:rsid w:val="00BB1F60"/>
    <w:rsid w:val="00BB4193"/>
    <w:rsid w:val="00BC05D7"/>
    <w:rsid w:val="00BC433C"/>
    <w:rsid w:val="00BD5D95"/>
    <w:rsid w:val="00BD6399"/>
    <w:rsid w:val="00BD717D"/>
    <w:rsid w:val="00BE7599"/>
    <w:rsid w:val="00BF15E7"/>
    <w:rsid w:val="00BF1BE0"/>
    <w:rsid w:val="00BF2DA4"/>
    <w:rsid w:val="00BF47B9"/>
    <w:rsid w:val="00C06267"/>
    <w:rsid w:val="00C06C99"/>
    <w:rsid w:val="00C11F4B"/>
    <w:rsid w:val="00C2037D"/>
    <w:rsid w:val="00C22A07"/>
    <w:rsid w:val="00C31837"/>
    <w:rsid w:val="00C3405C"/>
    <w:rsid w:val="00C35388"/>
    <w:rsid w:val="00C43523"/>
    <w:rsid w:val="00C478D5"/>
    <w:rsid w:val="00C56195"/>
    <w:rsid w:val="00C5727F"/>
    <w:rsid w:val="00C65BBA"/>
    <w:rsid w:val="00C72C54"/>
    <w:rsid w:val="00C84763"/>
    <w:rsid w:val="00C90E86"/>
    <w:rsid w:val="00C97059"/>
    <w:rsid w:val="00CA28DD"/>
    <w:rsid w:val="00CA3390"/>
    <w:rsid w:val="00CC1A34"/>
    <w:rsid w:val="00CC4251"/>
    <w:rsid w:val="00CC5EE0"/>
    <w:rsid w:val="00CD1905"/>
    <w:rsid w:val="00CD5B42"/>
    <w:rsid w:val="00CE6BE2"/>
    <w:rsid w:val="00D00C89"/>
    <w:rsid w:val="00D11250"/>
    <w:rsid w:val="00D3631F"/>
    <w:rsid w:val="00D401A1"/>
    <w:rsid w:val="00D76833"/>
    <w:rsid w:val="00D80644"/>
    <w:rsid w:val="00D8525A"/>
    <w:rsid w:val="00D856B7"/>
    <w:rsid w:val="00DB1FBE"/>
    <w:rsid w:val="00DC030F"/>
    <w:rsid w:val="00DD351A"/>
    <w:rsid w:val="00DD6C18"/>
    <w:rsid w:val="00DD7D5B"/>
    <w:rsid w:val="00DE0314"/>
    <w:rsid w:val="00DE129F"/>
    <w:rsid w:val="00DF04B1"/>
    <w:rsid w:val="00DF3C79"/>
    <w:rsid w:val="00DF5818"/>
    <w:rsid w:val="00E01AD2"/>
    <w:rsid w:val="00E040C8"/>
    <w:rsid w:val="00E05E88"/>
    <w:rsid w:val="00E1385E"/>
    <w:rsid w:val="00E15A0F"/>
    <w:rsid w:val="00E23823"/>
    <w:rsid w:val="00E41D1D"/>
    <w:rsid w:val="00E50B7C"/>
    <w:rsid w:val="00E607CD"/>
    <w:rsid w:val="00E643A5"/>
    <w:rsid w:val="00E66CCC"/>
    <w:rsid w:val="00E67470"/>
    <w:rsid w:val="00E7068A"/>
    <w:rsid w:val="00E71270"/>
    <w:rsid w:val="00E96593"/>
    <w:rsid w:val="00EA2BFF"/>
    <w:rsid w:val="00EA5E10"/>
    <w:rsid w:val="00EB40DC"/>
    <w:rsid w:val="00EC297D"/>
    <w:rsid w:val="00EC60D1"/>
    <w:rsid w:val="00ED561D"/>
    <w:rsid w:val="00EE71ED"/>
    <w:rsid w:val="00EF1DF1"/>
    <w:rsid w:val="00EF35EE"/>
    <w:rsid w:val="00EF4CC4"/>
    <w:rsid w:val="00F012E5"/>
    <w:rsid w:val="00F047BD"/>
    <w:rsid w:val="00F20C22"/>
    <w:rsid w:val="00F32D10"/>
    <w:rsid w:val="00F44AE3"/>
    <w:rsid w:val="00F5054B"/>
    <w:rsid w:val="00F64C17"/>
    <w:rsid w:val="00F71720"/>
    <w:rsid w:val="00F759F1"/>
    <w:rsid w:val="00F761C1"/>
    <w:rsid w:val="00F81F9D"/>
    <w:rsid w:val="00F852AF"/>
    <w:rsid w:val="00F87A44"/>
    <w:rsid w:val="00FA4AB6"/>
    <w:rsid w:val="00FA6A79"/>
    <w:rsid w:val="00FB2576"/>
    <w:rsid w:val="00FC3B8F"/>
    <w:rsid w:val="00FC6380"/>
    <w:rsid w:val="00FD1985"/>
    <w:rsid w:val="00FF6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6" type="connector" idref="#_x0000_s1030"/>
        <o:r id="V:Rule8" type="connector" idref="#_x0000_s1031"/>
        <o:r id="V:Rule9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251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425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D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A43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B4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0DC"/>
  </w:style>
  <w:style w:type="paragraph" w:styleId="Pieddepage">
    <w:name w:val="footer"/>
    <w:basedOn w:val="Normal"/>
    <w:link w:val="PieddepageCar"/>
    <w:uiPriority w:val="99"/>
    <w:unhideWhenUsed/>
    <w:rsid w:val="00EB4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40DC"/>
  </w:style>
  <w:style w:type="paragraph" w:styleId="Textedebulles">
    <w:name w:val="Balloon Text"/>
    <w:basedOn w:val="Normal"/>
    <w:link w:val="TextedebullesCar"/>
    <w:uiPriority w:val="99"/>
    <w:semiHidden/>
    <w:unhideWhenUsed/>
    <w:rsid w:val="001E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66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9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en-US"/>
              <a:t>Pourcentage (%)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Pourcentage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Feuil1!$A$2:$A$9</c:f>
              <c:strCache>
                <c:ptCount val="8"/>
                <c:pt idx="0">
                  <c:v>&lt; 10</c:v>
                </c:pt>
                <c:pt idx="1">
                  <c:v>[10-20[</c:v>
                </c:pt>
                <c:pt idx="2">
                  <c:v>[21-30[</c:v>
                </c:pt>
                <c:pt idx="3">
                  <c:v>[31-40[</c:v>
                </c:pt>
                <c:pt idx="4">
                  <c:v>[41-50[</c:v>
                </c:pt>
                <c:pt idx="5">
                  <c:v>[51-60[</c:v>
                </c:pt>
                <c:pt idx="6">
                  <c:v>[61-70[</c:v>
                </c:pt>
                <c:pt idx="7">
                  <c:v>&gt;70</c:v>
                </c:pt>
              </c:strCache>
            </c:strRef>
          </c:cat>
          <c:val>
            <c:numRef>
              <c:f>Feuil1!$B$2:$B$9</c:f>
              <c:numCache>
                <c:formatCode>General</c:formatCode>
                <c:ptCount val="8"/>
                <c:pt idx="0">
                  <c:v>3.1</c:v>
                </c:pt>
                <c:pt idx="1">
                  <c:v>7.4</c:v>
                </c:pt>
                <c:pt idx="2">
                  <c:v>8.4</c:v>
                </c:pt>
                <c:pt idx="3">
                  <c:v>7.4</c:v>
                </c:pt>
                <c:pt idx="4">
                  <c:v>6.3</c:v>
                </c:pt>
                <c:pt idx="5">
                  <c:v>37.9</c:v>
                </c:pt>
                <c:pt idx="6">
                  <c:v>22.1</c:v>
                </c:pt>
                <c:pt idx="7">
                  <c:v>7.4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85-4CAE-ACA4-CB9AD42F57D1}"/>
            </c:ext>
          </c:extLst>
        </c:ser>
        <c:dLbls>
          <c:showVal val="1"/>
        </c:dLbls>
        <c:shape val="box"/>
        <c:axId val="88566400"/>
        <c:axId val="88583552"/>
        <c:axId val="0"/>
      </c:bar3DChart>
      <c:catAx>
        <c:axId val="8856640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fr-FR"/>
                  <a:t>Tranche d'age (ans)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fr-FR"/>
          </a:p>
        </c:txPr>
        <c:crossAx val="88583552"/>
        <c:crosses val="autoZero"/>
        <c:auto val="1"/>
        <c:lblAlgn val="ctr"/>
        <c:lblOffset val="100"/>
      </c:catAx>
      <c:valAx>
        <c:axId val="8858355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fr-FR"/>
          </a:p>
        </c:txPr>
        <c:crossAx val="88566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1220302985799663"/>
          <c:y val="9.1617150923024748E-2"/>
          <c:w val="0.67855526308852732"/>
          <c:h val="0.57406521249488041"/>
        </c:manualLayout>
      </c:layout>
      <c:bar3DChart>
        <c:barDir val="bar"/>
        <c:grouping val="stacked"/>
        <c:ser>
          <c:idx val="0"/>
          <c:order val="0"/>
          <c:tx>
            <c:strRef>
              <c:f>Feuil1!$B$1</c:f>
              <c:strCache>
                <c:ptCount val="1"/>
                <c:pt idx="0">
                  <c:v>Effectif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dLbls>
            <c:delete val="1"/>
          </c:dLbls>
          <c:cat>
            <c:strRef>
              <c:f>Feuil1!$A$2:$A$5</c:f>
              <c:strCache>
                <c:ptCount val="4"/>
                <c:pt idx="0">
                  <c:v>Stade I</c:v>
                </c:pt>
                <c:pt idx="1">
                  <c:v>Stade II</c:v>
                </c:pt>
                <c:pt idx="2">
                  <c:v>Stade III</c:v>
                </c:pt>
                <c:pt idx="3">
                  <c:v>Stade IV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6</c:v>
                </c:pt>
                <c:pt idx="1">
                  <c:v>28</c:v>
                </c:pt>
                <c:pt idx="2">
                  <c:v>41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F4-4CD1-A048-6F4AE9251394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Pourcentage</c:v>
                </c:pt>
              </c:strCache>
            </c:strRef>
          </c:tx>
          <c:spPr>
            <a:blipFill dpi="0" rotWithShape="1">
              <a:blip xmlns:r="http://schemas.openxmlformats.org/officeDocument/2006/relationships" r:embed="rId1">
                <a:alphaModFix amt="93000"/>
              </a:blip>
              <a:srcRect/>
              <a:tile tx="0" ty="0" sx="100000" sy="100000" flip="none" algn="tl"/>
            </a:blipFill>
            <a:ln>
              <a:noFill/>
            </a:ln>
            <a:effectLst/>
            <a:sp3d/>
          </c:spPr>
          <c:pictureOptions>
            <c:pictureFormat val="stack"/>
          </c:pictureOptions>
          <c:dPt>
            <c:idx val="2"/>
            <c:spPr>
              <a:blipFill>
                <a:blip xmlns:r="http://schemas.openxmlformats.org/officeDocument/2006/relationships" r:embed="rId1">
                  <a:alphaModFix amt="93000"/>
                </a:blip>
                <a:tile tx="0" ty="0" sx="100000" sy="100000" flip="none" algn="tl"/>
              </a:blipFill>
              <a:ln>
                <a:noFill/>
              </a:ln>
              <a:effectLst/>
              <a:sp3d/>
            </c:spPr>
            <c:pictureOptions>
              <c:pictureFormat val="stack"/>
            </c:pictureOptions>
            <c:extLst xmlns:c16r2="http://schemas.microsoft.com/office/drawing/2015/06/chart">
              <c:ext xmlns:c16="http://schemas.microsoft.com/office/drawing/2014/chart" uri="{C3380CC4-5D6E-409C-BE32-E72D297353CC}">
                <c16:uniqueId val="{00000002-CDF4-4CD1-A048-6F4AE9251394}"/>
              </c:ext>
            </c:extLst>
          </c:dPt>
          <c:dLbls>
            <c:dLbl>
              <c:idx val="0"/>
              <c:layout>
                <c:manualLayout>
                  <c:x val="0.10462585136491453"/>
                  <c:y val="-1.1894183907965383E-2"/>
                </c:manualLayout>
              </c:layout>
              <c:tx>
                <c:rich>
                  <a:bodyPr/>
                  <a:lstStyle/>
                  <a:p>
                    <a:fld id="{3A92E5CF-F690-4018-988A-B872BA99F7D7}" type="VALUE">
                      <a:rPr lang="en-US" sz="800"/>
                      <a:pPr/>
                      <a:t>[VALEUR]</a:t>
                    </a:fld>
                    <a:r>
                      <a:rPr lang="en-US" sz="800"/>
                      <a:t> 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CDF4-4CD1-A048-6F4AE9251394}"/>
                </c:ext>
              </c:extLst>
            </c:dLbl>
            <c:dLbl>
              <c:idx val="1"/>
              <c:layout>
                <c:manualLayout>
                  <c:x val="0.16889601720336148"/>
                  <c:y val="8.9206379309739684E-3"/>
                </c:manualLayout>
              </c:layout>
              <c:tx>
                <c:rich>
                  <a:bodyPr/>
                  <a:lstStyle/>
                  <a:p>
                    <a:fld id="{335BBAB0-AF19-488A-B270-D166D8B5DF74}" type="VALUE">
                      <a:rPr lang="en-US" sz="800"/>
                      <a:pPr/>
                      <a:t>[VALEUR]</a:t>
                    </a:fld>
                    <a:r>
                      <a:rPr lang="en-US" sz="800"/>
                      <a:t> 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4-CDF4-4CD1-A048-6F4AE9251394}"/>
                </c:ext>
              </c:extLst>
            </c:dLbl>
            <c:dLbl>
              <c:idx val="2"/>
              <c:layout>
                <c:manualLayout>
                  <c:x val="0.24362876817830034"/>
                  <c:y val="-2.9735459769913652E-3"/>
                </c:manualLayout>
              </c:layout>
              <c:tx>
                <c:rich>
                  <a:bodyPr/>
                  <a:lstStyle/>
                  <a:p>
                    <a:fld id="{E8892313-DBA1-49DD-BBA4-DBADF45DA9B5}" type="VALUE">
                      <a:rPr lang="en-US" sz="800"/>
                      <a:pPr/>
                      <a:t>[VALEUR]</a:t>
                    </a:fld>
                    <a:r>
                      <a:rPr lang="en-US" sz="800"/>
                      <a:t> 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2-CDF4-4CD1-A048-6F4AE9251394}"/>
                </c:ext>
              </c:extLst>
            </c:dLbl>
            <c:dLbl>
              <c:idx val="3"/>
              <c:layout>
                <c:manualLayout>
                  <c:x val="0.20028377261283586"/>
                  <c:y val="-8.920637930973991E-3"/>
                </c:manualLayout>
              </c:layout>
              <c:tx>
                <c:rich>
                  <a:bodyPr/>
                  <a:lstStyle/>
                  <a:p>
                    <a:fld id="{32DF9DD4-609F-4B42-B116-5137B6E43314}" type="VALUE">
                      <a:rPr lang="en-US" sz="800"/>
                      <a:pPr/>
                      <a:t>[VALEUR]</a:t>
                    </a:fld>
                    <a:r>
                      <a:rPr lang="en-US" sz="800"/>
                      <a:t> 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CDF4-4CD1-A048-6F4AE9251394}"/>
                </c:ext>
              </c:extLst>
            </c:dLbl>
            <c:spPr>
              <a:noFill/>
              <a:ln>
                <a:solidFill>
                  <a:schemeClr val="accent1">
                    <a:alpha val="94000"/>
                  </a:schemeClr>
                </a:solidFill>
              </a:ln>
              <a:effectLst>
                <a:glow>
                  <a:schemeClr val="accent1"/>
                </a:glow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  <c:txPr>
              <a:bodyPr rot="0" vert="horz"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DataLabelsRange val="1"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Feuil1!$A$2:$A$5</c:f>
              <c:strCache>
                <c:ptCount val="4"/>
                <c:pt idx="0">
                  <c:v>Stade I</c:v>
                </c:pt>
                <c:pt idx="1">
                  <c:v>Stade II</c:v>
                </c:pt>
                <c:pt idx="2">
                  <c:v>Stade III</c:v>
                </c:pt>
                <c:pt idx="3">
                  <c:v>Stade IV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6.3</c:v>
                </c:pt>
                <c:pt idx="1">
                  <c:v>29.5</c:v>
                </c:pt>
                <c:pt idx="2">
                  <c:v>43.1</c:v>
                </c:pt>
                <c:pt idx="3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DF4-4CD1-A048-6F4AE9251394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Colonne1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Feuil1!$A$2:$A$5</c:f>
              <c:strCache>
                <c:ptCount val="4"/>
                <c:pt idx="0">
                  <c:v>Stade I</c:v>
                </c:pt>
                <c:pt idx="1">
                  <c:v>Stade II</c:v>
                </c:pt>
                <c:pt idx="2">
                  <c:v>Stade III</c:v>
                </c:pt>
                <c:pt idx="3">
                  <c:v>Stade IV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DF4-4CD1-A048-6F4AE9251394}"/>
            </c:ext>
          </c:extLst>
        </c:ser>
        <c:dLbls>
          <c:showVal val="1"/>
        </c:dLbls>
        <c:gapWidth val="130"/>
        <c:gapDepth val="350"/>
        <c:shape val="cylinder"/>
        <c:axId val="144620160"/>
        <c:axId val="145319808"/>
        <c:axId val="0"/>
      </c:bar3DChart>
      <c:catAx>
        <c:axId val="1446201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fr-FR"/>
          </a:p>
        </c:txPr>
        <c:crossAx val="145319808"/>
        <c:crosses val="autoZero"/>
        <c:auto val="1"/>
        <c:lblAlgn val="ctr"/>
        <c:lblOffset val="100"/>
      </c:catAx>
      <c:valAx>
        <c:axId val="1453198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fr-FR"/>
          </a:p>
        </c:txPr>
        <c:crossAx val="144620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 sz="900"/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A5E91-C7DD-4D08-B39F-4F0D0FEF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6785</TotalTime>
  <Pages>4</Pages>
  <Words>1548</Words>
  <Characters>8517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ANDRIAMAMPIONONA Ginnot</dc:creator>
  <cp:keywords/>
  <dc:description/>
  <cp:lastModifiedBy>PC-Dr</cp:lastModifiedBy>
  <cp:revision>175</cp:revision>
  <dcterms:created xsi:type="dcterms:W3CDTF">2023-05-30T03:34:00Z</dcterms:created>
  <dcterms:modified xsi:type="dcterms:W3CDTF">2025-04-24T03:48:00Z</dcterms:modified>
</cp:coreProperties>
</file>